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bidi w:val="1"/>
        <w:jc w:val="right"/>
      </w:pPr>
      <w:r>
        <w:rPr>
          <w:rFonts w:ascii="Noto Sans Arabic" w:hAnsi="Noto Sans Arabic" w:cs="Noto Sans Arabic"/>
          <w:b/>
          <w:color w:val="1C2D46"/>
          <w:sz w:val="36"/>
        </w:rPr>
        <w:t>نمونه قرارداد مشارکت در ساخت</w:t>
      </w:r>
    </w:p>
    <w:p>
      <w:pPr>
        <w:widowControl/>
        <w:bidi w:val="1"/>
        <w:jc w:val="right"/>
      </w:pPr>
      <w:r>
        <w:rPr>
          <w:rFonts w:ascii="Noto Sans Arabic" w:hAnsi="Noto Sans Arabic" w:cs="Noto Sans Arabic"/>
          <w:b/>
          <w:color w:val="843C0C"/>
          <w:sz w:val="22"/>
        </w:rPr>
        <w:t>نسخه عمومی قابل ویرایش - برای آشنایی و تطبیق اولیه</w:t>
      </w:r>
    </w:p>
    <w:tbl>
      <w:tblPr>
        <w:tblStyle w:val="TableGrid"/>
        <w:tblW w:type="auto" w:w="0"/>
        <w:jc w:val="center"/>
        <w:tblLook w:firstColumn="1" w:firstRow="1" w:lastColumn="0" w:lastRow="0" w:noHBand="0" w:noVBand="1" w:val="04A0"/>
      </w:tblPr>
      <w:tblGrid>
        <w:gridCol w:w="10312"/>
      </w:tblGrid>
      <w:tr>
        <w:tc>
          <w:tcPr>
            <w:tcW w:type="dxa" w:w="10312"/>
            <w:shd w:fill="FFF2CC"/>
          </w:tcPr>
          <w:p>
            <w:pPr>
              <w:bidi w:val="1"/>
              <w:jc w:val="right"/>
            </w:pPr>
            <w:r>
              <w:rPr>
                <w:rFonts w:ascii="Noto Sans Arabic" w:hAnsi="Noto Sans Arabic" w:cs="Noto Sans Arabic"/>
                <w:b/>
                <w:sz w:val="21"/>
              </w:rPr>
              <w:t xml:space="preserve">هشدار مهم: </w:t>
            </w:r>
            <w:r>
              <w:rPr>
                <w:rFonts w:ascii="Noto Sans Arabic" w:hAnsi="Noto Sans Arabic" w:cs="Noto Sans Arabic"/>
                <w:b w:val="0"/>
                <w:sz w:val="20"/>
              </w:rPr>
              <w:t>این فایل نمونه عمومی است و جایگزین تنظیم اختصاصی قرارداد، بررسی سند، استعلام وضعیت ملک یا رعایت تشریفات ثبت رسمی نیست. قرارداد مشارکت در ساخت با اصلاح قانون در قلمرو قانون پیش‌فروش ساختمان قرار گرفته است. قبل از امضا، متن باید با وضعیت همان ملک، طرفین و مقررات جاری تطبیق داده شود.</w:t>
            </w:r>
          </w:p>
        </w:tc>
      </w:tr>
    </w:tbl>
    <w:p>
      <w:pPr>
        <w:widowControl/>
        <w:bidi w:val="1"/>
        <w:spacing w:line="288" w:lineRule="auto" w:after="80"/>
        <w:jc w:val="right"/>
      </w:pPr>
      <w:r>
        <w:rPr>
          <w:rFonts w:ascii="Noto Sans Arabic" w:hAnsi="Noto Sans Arabic" w:cs="Noto Sans Arabic"/>
          <w:b w:val="0"/>
          <w:sz w:val="21"/>
        </w:rPr>
        <w:t>این قرارداد در تاریخ ................. بین اشخاص زیر منعقد می‌شود و طرفین با علم به ضرورت رعایت قوانین آمره، مقررات شهرسازی، قانون پیش‌فروش ساختمان با اصلاحات بعدی و قانون الزام به ثبت رسمی معاملات اموال غیرمنقول، مفاد زیر را می‌پذیرند.</w:t>
      </w:r>
    </w:p>
    <w:p>
      <w:pPr>
        <w:pStyle w:val="Heading2"/>
        <w:keepNext/>
        <w:widowControl/>
        <w:bidi w:val="1"/>
        <w:spacing w:before="180" w:after="80"/>
        <w:jc w:val="right"/>
      </w:pPr>
      <w:r>
        <w:rPr>
          <w:rFonts w:ascii="Noto Sans Arabic" w:hAnsi="Noto Sans Arabic" w:cs="Noto Sans Arabic"/>
          <w:b/>
          <w:color w:val="1F4E79"/>
          <w:sz w:val="24"/>
        </w:rPr>
        <w:t>ماده ۱ - طرفین قرارداد</w:t>
      </w:r>
    </w:p>
    <w:p>
      <w:pPr>
        <w:widowControl/>
        <w:bidi w:val="1"/>
        <w:spacing w:line="288" w:lineRule="auto" w:after="80"/>
        <w:jc w:val="right"/>
      </w:pPr>
      <w:r>
        <w:rPr>
          <w:rFonts w:ascii="Noto Sans Arabic" w:hAnsi="Noto Sans Arabic" w:cs="Noto Sans Arabic"/>
          <w:b w:val="0"/>
          <w:sz w:val="21"/>
        </w:rPr>
        <w:t>۱-۱ مالک/مالکان: آقای/خانم/شرکت ........................ فرزند/شناسه ملی ........................ کد ملی/شماره ثبت ........................ به نشانی ........................ تلفن ........................ که از این پس «مالک» نامیده می‌شود.</w:t>
      </w:r>
    </w:p>
    <w:p>
      <w:pPr>
        <w:widowControl/>
        <w:bidi w:val="1"/>
        <w:spacing w:line="288" w:lineRule="auto" w:after="80"/>
        <w:jc w:val="right"/>
      </w:pPr>
      <w:r>
        <w:rPr>
          <w:rFonts w:ascii="Noto Sans Arabic" w:hAnsi="Noto Sans Arabic" w:cs="Noto Sans Arabic"/>
          <w:b w:val="0"/>
          <w:sz w:val="21"/>
        </w:rPr>
        <w:t>۱-۲ سازنده: آقای/خانم/شرکت ........................ فرزند/شناسه ملی ........................ کد ملی/شماره ثبت ........................ به نشانی ........................ تلفن ........................ که از این پس «سازنده» نامیده می‌شود.</w:t>
      </w:r>
    </w:p>
    <w:p>
      <w:pPr>
        <w:widowControl/>
        <w:bidi w:val="1"/>
        <w:spacing w:line="288" w:lineRule="auto" w:after="80"/>
        <w:jc w:val="right"/>
      </w:pPr>
      <w:r>
        <w:rPr>
          <w:rFonts w:ascii="Noto Sans Arabic" w:hAnsi="Noto Sans Arabic" w:cs="Noto Sans Arabic"/>
          <w:b w:val="0"/>
          <w:sz w:val="21"/>
        </w:rPr>
        <w:t>۱-۳ اگر هر یک از طرفین توسط نماینده امضا می‌کند، نوع نمایندگی، مشخصات سند نمایندگی و حدود اختیار باید در پیوست شماره ۱ درج و ضمیمه شود. امضای نماینده خارج از حدود اختیار، تابع قواعد قانونی مربوط خواهد بود.</w:t>
      </w:r>
    </w:p>
    <w:p>
      <w:pPr>
        <w:pStyle w:val="Heading2"/>
        <w:keepNext/>
        <w:widowControl/>
        <w:bidi w:val="1"/>
        <w:spacing w:before="180" w:after="80"/>
        <w:jc w:val="right"/>
      </w:pPr>
      <w:r>
        <w:rPr>
          <w:rFonts w:ascii="Noto Sans Arabic" w:hAnsi="Noto Sans Arabic" w:cs="Noto Sans Arabic"/>
          <w:b/>
          <w:color w:val="1F4E79"/>
          <w:sz w:val="24"/>
        </w:rPr>
        <w:t>ماده ۲ - مشخصات و وضعیت ملک</w:t>
      </w:r>
    </w:p>
    <w:tbl>
      <w:tblPr>
        <w:tblStyle w:val="TableGrid"/>
        <w:tblW w:type="auto" w:w="0"/>
        <w:jc w:val="center"/>
        <w:tblLook w:firstColumn="1" w:firstRow="1" w:lastColumn="0" w:lastRow="0" w:noHBand="0" w:noVBand="1" w:val="04A0"/>
      </w:tblPr>
      <w:tblGrid>
        <w:gridCol w:w="5156"/>
        <w:gridCol w:w="5156"/>
      </w:tblGrid>
      <w:tr>
        <w:tc>
          <w:tcPr>
            <w:tcW w:type="dxa" w:w="5156"/>
            <w:shd w:fill="D9EAF7"/>
            <w:vAlign w:val="center"/>
          </w:tcPr>
          <w:p>
            <w:pPr>
              <w:bidi w:val="1"/>
              <w:jc w:val="right"/>
            </w:pPr>
            <w:r>
              <w:rPr>
                <w:rFonts w:ascii="Noto Sans Arabic" w:hAnsi="Noto Sans Arabic" w:cs="Noto Sans Arabic"/>
                <w:b/>
                <w:sz w:val="19"/>
              </w:rPr>
              <w:t>عنوان</w:t>
            </w:r>
          </w:p>
        </w:tc>
        <w:tc>
          <w:tcPr>
            <w:tcW w:type="dxa" w:w="5156"/>
            <w:shd w:fill="D9EAF7"/>
            <w:vAlign w:val="center"/>
          </w:tcPr>
          <w:p>
            <w:pPr>
              <w:bidi w:val="1"/>
              <w:jc w:val="right"/>
            </w:pPr>
            <w:r>
              <w:rPr>
                <w:rFonts w:ascii="Noto Sans Arabic" w:hAnsi="Noto Sans Arabic" w:cs="Noto Sans Arabic"/>
                <w:b/>
                <w:sz w:val="19"/>
              </w:rPr>
              <w:t>مشخصات</w:t>
            </w:r>
          </w:p>
        </w:tc>
      </w:tr>
      <w:tr>
        <w:tc>
          <w:tcPr>
            <w:tcW w:type="dxa" w:w="5156"/>
          </w:tcPr>
          <w:p>
            <w:pPr>
              <w:bidi w:val="1"/>
              <w:spacing w:after="0"/>
              <w:jc w:val="right"/>
            </w:pPr>
            <w:r>
              <w:rPr>
                <w:rFonts w:ascii="Noto Sans Arabic" w:hAnsi="Noto Sans Arabic" w:cs="Noto Sans Arabic"/>
                <w:b w:val="0"/>
                <w:sz w:val="18"/>
              </w:rPr>
              <w:t>پلاک ثبتی اصلی/فرعی</w:t>
            </w:r>
          </w:p>
        </w:tc>
        <w:tc>
          <w:tcPr>
            <w:tcW w:type="dxa" w:w="5156"/>
          </w:tcPr>
          <w:p>
            <w:pPr>
              <w:bidi w:val="1"/>
              <w:spacing w:after="0"/>
              <w:jc w:val="right"/>
            </w:pPr>
            <w:r>
              <w:rPr>
                <w:rFonts w:ascii="Noto Sans Arabic" w:hAnsi="Noto Sans Arabic" w:cs="Noto Sans Arabic"/>
                <w:b w:val="0"/>
                <w:sz w:val="18"/>
              </w:rPr>
              <w:t>................................................</w:t>
            </w:r>
          </w:p>
        </w:tc>
      </w:tr>
      <w:tr>
        <w:tc>
          <w:tcPr>
            <w:tcW w:type="dxa" w:w="5156"/>
          </w:tcPr>
          <w:p>
            <w:pPr>
              <w:bidi w:val="1"/>
              <w:spacing w:after="0"/>
              <w:jc w:val="right"/>
            </w:pPr>
            <w:r>
              <w:rPr>
                <w:rFonts w:ascii="Noto Sans Arabic" w:hAnsi="Noto Sans Arabic" w:cs="Noto Sans Arabic"/>
                <w:b w:val="0"/>
                <w:sz w:val="18"/>
              </w:rPr>
              <w:t>بخش ثبتی</w:t>
            </w:r>
          </w:p>
        </w:tc>
        <w:tc>
          <w:tcPr>
            <w:tcW w:type="dxa" w:w="5156"/>
          </w:tcPr>
          <w:p>
            <w:pPr>
              <w:bidi w:val="1"/>
              <w:spacing w:after="0"/>
              <w:jc w:val="right"/>
            </w:pPr>
            <w:r>
              <w:rPr>
                <w:rFonts w:ascii="Noto Sans Arabic" w:hAnsi="Noto Sans Arabic" w:cs="Noto Sans Arabic"/>
                <w:b w:val="0"/>
                <w:sz w:val="18"/>
              </w:rPr>
              <w:t>................................................</w:t>
            </w:r>
          </w:p>
        </w:tc>
      </w:tr>
      <w:tr>
        <w:tc>
          <w:tcPr>
            <w:tcW w:type="dxa" w:w="5156"/>
          </w:tcPr>
          <w:p>
            <w:pPr>
              <w:bidi w:val="1"/>
              <w:spacing w:after="0"/>
              <w:jc w:val="right"/>
            </w:pPr>
            <w:r>
              <w:rPr>
                <w:rFonts w:ascii="Noto Sans Arabic" w:hAnsi="Noto Sans Arabic" w:cs="Noto Sans Arabic"/>
                <w:b w:val="0"/>
                <w:sz w:val="18"/>
              </w:rPr>
              <w:t>نشانی</w:t>
            </w:r>
          </w:p>
        </w:tc>
        <w:tc>
          <w:tcPr>
            <w:tcW w:type="dxa" w:w="5156"/>
          </w:tcPr>
          <w:p>
            <w:pPr>
              <w:bidi w:val="1"/>
              <w:spacing w:after="0"/>
              <w:jc w:val="right"/>
            </w:pPr>
            <w:r>
              <w:rPr>
                <w:rFonts w:ascii="Noto Sans Arabic" w:hAnsi="Noto Sans Arabic" w:cs="Noto Sans Arabic"/>
                <w:b w:val="0"/>
                <w:sz w:val="18"/>
              </w:rPr>
              <w:t>................................................</w:t>
            </w:r>
          </w:p>
        </w:tc>
      </w:tr>
      <w:tr>
        <w:tc>
          <w:tcPr>
            <w:tcW w:type="dxa" w:w="5156"/>
          </w:tcPr>
          <w:p>
            <w:pPr>
              <w:bidi w:val="1"/>
              <w:spacing w:after="0"/>
              <w:jc w:val="right"/>
            </w:pPr>
            <w:r>
              <w:rPr>
                <w:rFonts w:ascii="Noto Sans Arabic" w:hAnsi="Noto Sans Arabic" w:cs="Noto Sans Arabic"/>
                <w:b w:val="0"/>
                <w:sz w:val="18"/>
              </w:rPr>
              <w:t>مساحت عرصه/اعیان</w:t>
            </w:r>
          </w:p>
        </w:tc>
        <w:tc>
          <w:tcPr>
            <w:tcW w:type="dxa" w:w="5156"/>
          </w:tcPr>
          <w:p>
            <w:pPr>
              <w:bidi w:val="1"/>
              <w:spacing w:after="0"/>
              <w:jc w:val="right"/>
            </w:pPr>
            <w:r>
              <w:rPr>
                <w:rFonts w:ascii="Noto Sans Arabic" w:hAnsi="Noto Sans Arabic" w:cs="Noto Sans Arabic"/>
                <w:b w:val="0"/>
                <w:sz w:val="18"/>
              </w:rPr>
              <w:t>................................................</w:t>
            </w:r>
          </w:p>
        </w:tc>
      </w:tr>
      <w:tr>
        <w:tc>
          <w:tcPr>
            <w:tcW w:type="dxa" w:w="5156"/>
          </w:tcPr>
          <w:p>
            <w:pPr>
              <w:bidi w:val="1"/>
              <w:spacing w:after="0"/>
              <w:jc w:val="right"/>
            </w:pPr>
            <w:r>
              <w:rPr>
                <w:rFonts w:ascii="Noto Sans Arabic" w:hAnsi="Noto Sans Arabic" w:cs="Noto Sans Arabic"/>
                <w:b w:val="0"/>
                <w:sz w:val="18"/>
              </w:rPr>
              <w:t>شماره سند مالکیت</w:t>
            </w:r>
          </w:p>
        </w:tc>
        <w:tc>
          <w:tcPr>
            <w:tcW w:type="dxa" w:w="5156"/>
          </w:tcPr>
          <w:p>
            <w:pPr>
              <w:bidi w:val="1"/>
              <w:spacing w:after="0"/>
              <w:jc w:val="right"/>
            </w:pPr>
            <w:r>
              <w:rPr>
                <w:rFonts w:ascii="Noto Sans Arabic" w:hAnsi="Noto Sans Arabic" w:cs="Noto Sans Arabic"/>
                <w:b w:val="0"/>
                <w:sz w:val="18"/>
              </w:rPr>
              <w:t>................................................</w:t>
            </w:r>
          </w:p>
        </w:tc>
      </w:tr>
      <w:tr>
        <w:tc>
          <w:tcPr>
            <w:tcW w:type="dxa" w:w="5156"/>
          </w:tcPr>
          <w:p>
            <w:pPr>
              <w:bidi w:val="1"/>
              <w:spacing w:after="0"/>
              <w:jc w:val="right"/>
            </w:pPr>
            <w:r>
              <w:rPr>
                <w:rFonts w:ascii="Noto Sans Arabic" w:hAnsi="Noto Sans Arabic" w:cs="Noto Sans Arabic"/>
                <w:b w:val="0"/>
                <w:sz w:val="18"/>
              </w:rPr>
              <w:t>وضعیت رهن/بازداشت/حقوق ثالث</w:t>
            </w:r>
          </w:p>
        </w:tc>
        <w:tc>
          <w:tcPr>
            <w:tcW w:type="dxa" w:w="5156"/>
          </w:tcPr>
          <w:p>
            <w:pPr>
              <w:bidi w:val="1"/>
              <w:spacing w:after="0"/>
              <w:jc w:val="right"/>
            </w:pPr>
            <w:r>
              <w:rPr>
                <w:rFonts w:ascii="Noto Sans Arabic" w:hAnsi="Noto Sans Arabic" w:cs="Noto Sans Arabic"/>
                <w:b w:val="0"/>
                <w:sz w:val="18"/>
              </w:rPr>
              <w:t>................................................</w:t>
            </w:r>
          </w:p>
        </w:tc>
      </w:tr>
      <w:tr>
        <w:tc>
          <w:tcPr>
            <w:tcW w:type="dxa" w:w="5156"/>
          </w:tcPr>
          <w:p>
            <w:pPr>
              <w:bidi w:val="1"/>
              <w:spacing w:after="0"/>
              <w:jc w:val="right"/>
            </w:pPr>
            <w:r>
              <w:rPr>
                <w:rFonts w:ascii="Noto Sans Arabic" w:hAnsi="Noto Sans Arabic" w:cs="Noto Sans Arabic"/>
                <w:b w:val="0"/>
                <w:sz w:val="18"/>
              </w:rPr>
              <w:t>کاربری و وضعیت شهرسازی</w:t>
            </w:r>
          </w:p>
        </w:tc>
        <w:tc>
          <w:tcPr>
            <w:tcW w:type="dxa" w:w="5156"/>
          </w:tcPr>
          <w:p>
            <w:pPr>
              <w:bidi w:val="1"/>
              <w:spacing w:after="0"/>
              <w:jc w:val="right"/>
            </w:pPr>
            <w:r>
              <w:rPr>
                <w:rFonts w:ascii="Noto Sans Arabic" w:hAnsi="Noto Sans Arabic" w:cs="Noto Sans Arabic"/>
                <w:b w:val="0"/>
                <w:sz w:val="18"/>
              </w:rPr>
              <w:t>................................................</w:t>
            </w:r>
          </w:p>
        </w:tc>
      </w:tr>
    </w:tbl>
    <w:p>
      <w:pPr>
        <w:widowControl/>
        <w:bidi w:val="1"/>
        <w:spacing w:line="288" w:lineRule="auto" w:after="80"/>
        <w:jc w:val="right"/>
      </w:pPr>
      <w:r>
        <w:rPr>
          <w:rFonts w:ascii="Noto Sans Arabic" w:hAnsi="Noto Sans Arabic" w:cs="Noto Sans Arabic"/>
          <w:b w:val="0"/>
          <w:sz w:val="21"/>
        </w:rPr>
        <w:t>۲-۲ مالک اقرار می‌کند اطلاعات و اسناد ارائه‌شده درباره مالکیت و محدودیت‌های ثبتی صحیح است و هر محدودیت مؤثر بر اجرای پروژه باید صریحاً در این قرارداد یا پیوست‌ها ذکر شود.</w:t>
      </w:r>
    </w:p>
    <w:p>
      <w:pPr>
        <w:pStyle w:val="Heading2"/>
        <w:keepNext/>
        <w:widowControl/>
        <w:bidi w:val="1"/>
        <w:spacing w:before="180" w:after="80"/>
        <w:jc w:val="right"/>
      </w:pPr>
      <w:r>
        <w:rPr>
          <w:rFonts w:ascii="Noto Sans Arabic" w:hAnsi="Noto Sans Arabic" w:cs="Noto Sans Arabic"/>
          <w:b/>
          <w:color w:val="1F4E79"/>
          <w:sz w:val="24"/>
        </w:rPr>
        <w:t>ماده ۳ - موضوع قرارداد</w:t>
      </w:r>
    </w:p>
    <w:p>
      <w:pPr>
        <w:widowControl/>
        <w:bidi w:val="1"/>
        <w:spacing w:line="288" w:lineRule="auto" w:after="80"/>
        <w:jc w:val="right"/>
      </w:pPr>
      <w:r>
        <w:rPr>
          <w:rFonts w:ascii="Noto Sans Arabic" w:hAnsi="Noto Sans Arabic" w:cs="Noto Sans Arabic"/>
          <w:b w:val="0"/>
          <w:sz w:val="21"/>
        </w:rPr>
        <w:t>موضوع قرارداد عبارت است از مشارکت طرفین برای تخریب/نوسازی/احداث بنا در ملک فوق، اخذ مجوزهای لازم، اجرای عملیات ساختمانی مطابق نقشه‌ها و مشخصات فنی، اخذ مدارک پایان پروژه و تقسیم حقوق و واحدهای حاصل طبق این قرارداد و تقسیم‌نامه/اسناد رسمی مربوط.</w:t>
      </w:r>
    </w:p>
    <w:p>
      <w:pPr>
        <w:pStyle w:val="Heading2"/>
        <w:keepNext/>
        <w:widowControl/>
        <w:bidi w:val="1"/>
        <w:spacing w:before="180" w:after="80"/>
        <w:jc w:val="right"/>
      </w:pPr>
      <w:r>
        <w:rPr>
          <w:rFonts w:ascii="Noto Sans Arabic" w:hAnsi="Noto Sans Arabic" w:cs="Noto Sans Arabic"/>
          <w:b/>
          <w:color w:val="1F4E79"/>
          <w:sz w:val="24"/>
        </w:rPr>
        <w:t>ماده ۴ - آورده طرفین و ارزش‌گذاری</w:t>
      </w:r>
    </w:p>
    <w:p>
      <w:pPr>
        <w:widowControl/>
        <w:bidi w:val="1"/>
        <w:spacing w:line="288" w:lineRule="auto" w:after="80"/>
        <w:jc w:val="right"/>
      </w:pPr>
      <w:r>
        <w:rPr>
          <w:rFonts w:ascii="Noto Sans Arabic" w:hAnsi="Noto Sans Arabic" w:cs="Noto Sans Arabic"/>
          <w:b w:val="0"/>
          <w:sz w:val="21"/>
        </w:rPr>
        <w:t>۴-۱ آورده مالک: ملک موضوع ماده ۲ و در صورت توافق، مبالغ یا هزینه‌های زیر: ................................................</w:t>
      </w:r>
    </w:p>
    <w:p>
      <w:pPr>
        <w:widowControl/>
        <w:bidi w:val="1"/>
        <w:spacing w:line="288" w:lineRule="auto" w:after="80"/>
        <w:jc w:val="right"/>
      </w:pPr>
      <w:r>
        <w:rPr>
          <w:rFonts w:ascii="Noto Sans Arabic" w:hAnsi="Noto Sans Arabic" w:cs="Noto Sans Arabic"/>
          <w:b w:val="0"/>
          <w:sz w:val="21"/>
        </w:rPr>
        <w:t>۴-۲ آورده سازنده: تأمین هزینه‌های مورد توافق برای طراحی، مجوزها، تخریب، عملیات اجرایی، مصالح، دستمزد، بیمه، انشعابات، پایان کار و سایر مواردی که در پیوست مالی درج می‌شود.</w:t>
      </w:r>
    </w:p>
    <w:p>
      <w:pPr>
        <w:widowControl/>
        <w:bidi w:val="1"/>
        <w:spacing w:line="288" w:lineRule="auto" w:after="80"/>
        <w:jc w:val="right"/>
      </w:pPr>
      <w:r>
        <w:rPr>
          <w:rFonts w:ascii="Noto Sans Arabic" w:hAnsi="Noto Sans Arabic" w:cs="Noto Sans Arabic"/>
          <w:b w:val="0"/>
          <w:sz w:val="21"/>
        </w:rPr>
        <w:t>۴-۳ ارزش تقریبی آورده مالک در تاریخ قرارداد: ........................ ریال/تومان. ارزش تقریبی آورده و هزینه‌های سازنده: ........................ ریال/تومان. مبنای ارزیابی: کارشناسی/توافق/سایر: ........................</w:t>
      </w:r>
    </w:p>
    <w:p>
      <w:pPr>
        <w:widowControl/>
        <w:bidi w:val="1"/>
        <w:spacing w:line="288" w:lineRule="auto" w:after="80"/>
        <w:jc w:val="right"/>
      </w:pPr>
      <w:r>
        <w:rPr>
          <w:rFonts w:ascii="Noto Sans Arabic" w:hAnsi="Noto Sans Arabic" w:cs="Noto Sans Arabic"/>
          <w:b w:val="0"/>
          <w:sz w:val="21"/>
        </w:rPr>
        <w:t>۴-۴ مبلغ بلاعوض/مابه‌التفاوت در صورت وجود: ........................ که در تاریخ/مراحل زیر پرداخت می‌شود: ........................ . اثر عدم پرداخت یا تأخیر: ........................ .</w:t>
      </w:r>
    </w:p>
    <w:p>
      <w:pPr>
        <w:pStyle w:val="Heading2"/>
        <w:keepNext/>
        <w:widowControl/>
        <w:bidi w:val="1"/>
        <w:spacing w:before="180" w:after="80"/>
        <w:jc w:val="right"/>
      </w:pPr>
      <w:r>
        <w:rPr>
          <w:rFonts w:ascii="Noto Sans Arabic" w:hAnsi="Noto Sans Arabic" w:cs="Noto Sans Arabic"/>
          <w:b/>
          <w:color w:val="1F4E79"/>
          <w:sz w:val="24"/>
        </w:rPr>
        <w:t>ماده ۵ - سهم طرفین و نحوه تخصیص واحدها</w:t>
      </w:r>
    </w:p>
    <w:p>
      <w:pPr>
        <w:widowControl/>
        <w:bidi w:val="1"/>
        <w:spacing w:line="288" w:lineRule="auto" w:after="80"/>
        <w:jc w:val="right"/>
      </w:pPr>
      <w:r>
        <w:rPr>
          <w:rFonts w:ascii="Noto Sans Arabic" w:hAnsi="Noto Sans Arabic" w:cs="Noto Sans Arabic"/>
          <w:b w:val="0"/>
          <w:sz w:val="21"/>
        </w:rPr>
        <w:t>۵-۱ سهم مالک: .......... درصد و سهم سازنده: .......... درصد از حقوق حاصل از پروژه، مشروط به مفاد تقسیم‌نامه و اسناد رسمی.</w:t>
      </w:r>
    </w:p>
    <w:p>
      <w:pPr>
        <w:widowControl/>
        <w:bidi w:val="1"/>
        <w:spacing w:line="288" w:lineRule="auto" w:after="80"/>
        <w:jc w:val="right"/>
      </w:pPr>
      <w:r>
        <w:rPr>
          <w:rFonts w:ascii="Noto Sans Arabic" w:hAnsi="Noto Sans Arabic" w:cs="Noto Sans Arabic"/>
          <w:b w:val="0"/>
          <w:sz w:val="21"/>
        </w:rPr>
        <w:t>۵-۲ طرفین توافق می‌کنند صرف درصد، تعیین‌کننده واحدهای اختصاصی نیست و تقسیم واحدها باید با لحاظ طبقه، جهت، متراژ، پارکینگ، انباری و تفاوت ارزش انجام شود.</w:t>
      </w:r>
    </w:p>
    <w:p>
      <w:pPr>
        <w:widowControl/>
        <w:bidi w:val="1"/>
        <w:spacing w:line="288" w:lineRule="auto" w:after="80"/>
        <w:jc w:val="right"/>
      </w:pPr>
      <w:r>
        <w:rPr>
          <w:rFonts w:ascii="Noto Sans Arabic" w:hAnsi="Noto Sans Arabic" w:cs="Noto Sans Arabic"/>
          <w:b w:val="0"/>
          <w:sz w:val="21"/>
        </w:rPr>
        <w:t>۵-۳ اگر مساحت یا تعداد واحدها بر اثر ضوابط و مجوزهای رسمی تغییر کند، نحوه تعدیل سهم/تقسیم به شرح زیر خواهد بود: ................................................</w:t>
      </w:r>
    </w:p>
    <w:p>
      <w:pPr>
        <w:pStyle w:val="Heading2"/>
        <w:keepNext/>
        <w:widowControl/>
        <w:bidi w:val="1"/>
        <w:spacing w:before="180" w:after="80"/>
        <w:jc w:val="right"/>
      </w:pPr>
      <w:r>
        <w:rPr>
          <w:rFonts w:ascii="Noto Sans Arabic" w:hAnsi="Noto Sans Arabic" w:cs="Noto Sans Arabic"/>
          <w:b/>
          <w:color w:val="1F4E79"/>
          <w:sz w:val="24"/>
        </w:rPr>
        <w:t>ماده ۶ - مشخصات فنی و پیوست مصالح</w:t>
      </w:r>
    </w:p>
    <w:p>
      <w:pPr>
        <w:widowControl/>
        <w:bidi w:val="1"/>
        <w:spacing w:line="288" w:lineRule="auto" w:after="80"/>
        <w:jc w:val="right"/>
      </w:pPr>
      <w:r>
        <w:rPr>
          <w:rFonts w:ascii="Noto Sans Arabic" w:hAnsi="Noto Sans Arabic" w:cs="Noto Sans Arabic"/>
          <w:b w:val="0"/>
          <w:sz w:val="21"/>
        </w:rPr>
        <w:t>۶-۱ نوع سازه، نما، کف، تأسیسات، آسانسور، در و پنجره، کابینت، شیرآلات و سایر مشخصات در «پیوست فنی» تعیین می‌شود. عبارت‌های کلی مانند «درجه یک» بدون معیار فنی کافی نیست.</w:t>
      </w:r>
    </w:p>
    <w:p>
      <w:pPr>
        <w:widowControl/>
        <w:bidi w:val="1"/>
        <w:spacing w:line="288" w:lineRule="auto" w:after="80"/>
        <w:jc w:val="right"/>
      </w:pPr>
      <w:r>
        <w:rPr>
          <w:rFonts w:ascii="Noto Sans Arabic" w:hAnsi="Noto Sans Arabic" w:cs="Noto Sans Arabic"/>
          <w:b w:val="0"/>
          <w:sz w:val="21"/>
        </w:rPr>
        <w:t>۶-۲ تغییر برند یا مشخصه فنی فقط در صورت عدم دسترسی/ضرورت فنی و با معیار هم‌رده یا بهتر و تأیید ................ مجاز است.</w:t>
      </w:r>
    </w:p>
    <w:p>
      <w:pPr>
        <w:pStyle w:val="Heading2"/>
        <w:keepNext/>
        <w:widowControl/>
        <w:bidi w:val="1"/>
        <w:spacing w:before="180" w:after="80"/>
        <w:jc w:val="right"/>
      </w:pPr>
      <w:r>
        <w:rPr>
          <w:rFonts w:ascii="Noto Sans Arabic" w:hAnsi="Noto Sans Arabic" w:cs="Noto Sans Arabic"/>
          <w:b/>
          <w:color w:val="1F4E79"/>
          <w:sz w:val="24"/>
        </w:rPr>
        <w:t>ماده ۷ - برنامه زمانی</w:t>
      </w:r>
    </w:p>
    <w:tbl>
      <w:tblPr>
        <w:tblStyle w:val="TableGrid"/>
        <w:tblW w:type="auto" w:w="0"/>
        <w:jc w:val="center"/>
        <w:tblLook w:firstColumn="1" w:firstRow="1" w:lastColumn="0" w:lastRow="0" w:noHBand="0" w:noVBand="1" w:val="04A0"/>
      </w:tblPr>
      <w:tblGrid>
        <w:gridCol w:w="3437"/>
        <w:gridCol w:w="3437"/>
        <w:gridCol w:w="3437"/>
      </w:tblGrid>
      <w:tr>
        <w:tc>
          <w:tcPr>
            <w:tcW w:type="dxa" w:w="3437"/>
            <w:shd w:fill="D9EAF7"/>
            <w:vAlign w:val="center"/>
          </w:tcPr>
          <w:p>
            <w:pPr>
              <w:bidi w:val="1"/>
              <w:jc w:val="right"/>
            </w:pPr>
            <w:r>
              <w:rPr>
                <w:rFonts w:ascii="Noto Sans Arabic" w:hAnsi="Noto Sans Arabic" w:cs="Noto Sans Arabic"/>
                <w:b/>
                <w:sz w:val="19"/>
              </w:rPr>
              <w:t>مرحله</w:t>
            </w:r>
          </w:p>
        </w:tc>
        <w:tc>
          <w:tcPr>
            <w:tcW w:type="dxa" w:w="3437"/>
            <w:shd w:fill="D9EAF7"/>
            <w:vAlign w:val="center"/>
          </w:tcPr>
          <w:p>
            <w:pPr>
              <w:bidi w:val="1"/>
              <w:jc w:val="right"/>
            </w:pPr>
            <w:r>
              <w:rPr>
                <w:rFonts w:ascii="Noto Sans Arabic" w:hAnsi="Noto Sans Arabic" w:cs="Noto Sans Arabic"/>
                <w:b/>
                <w:sz w:val="19"/>
              </w:rPr>
              <w:t>مهلت/تاریخ</w:t>
            </w:r>
          </w:p>
        </w:tc>
        <w:tc>
          <w:tcPr>
            <w:tcW w:type="dxa" w:w="3437"/>
            <w:shd w:fill="D9EAF7"/>
            <w:vAlign w:val="center"/>
          </w:tcPr>
          <w:p>
            <w:pPr>
              <w:bidi w:val="1"/>
              <w:jc w:val="right"/>
            </w:pPr>
            <w:r>
              <w:rPr>
                <w:rFonts w:ascii="Noto Sans Arabic" w:hAnsi="Noto Sans Arabic" w:cs="Noto Sans Arabic"/>
                <w:b/>
                <w:sz w:val="19"/>
              </w:rPr>
              <w:t>ضمانت اجرای تأخیر</w:t>
            </w:r>
          </w:p>
        </w:tc>
      </w:tr>
      <w:tr>
        <w:tc>
          <w:tcPr>
            <w:tcW w:type="dxa" w:w="3437"/>
          </w:tcPr>
          <w:p>
            <w:pPr>
              <w:bidi w:val="1"/>
              <w:spacing w:after="0"/>
              <w:jc w:val="right"/>
            </w:pPr>
            <w:r>
              <w:rPr>
                <w:rFonts w:ascii="Noto Sans Arabic" w:hAnsi="Noto Sans Arabic" w:cs="Noto Sans Arabic"/>
                <w:b w:val="0"/>
                <w:sz w:val="18"/>
              </w:rPr>
              <w:t>تحویل ملک</w:t>
            </w:r>
          </w:p>
        </w:tc>
        <w:tc>
          <w:tcPr>
            <w:tcW w:type="dxa" w:w="3437"/>
          </w:tcPr>
          <w:p>
            <w:pPr>
              <w:bidi w:val="1"/>
              <w:spacing w:after="0"/>
              <w:jc w:val="right"/>
            </w:pPr>
            <w:r>
              <w:rPr>
                <w:rFonts w:ascii="Noto Sans Arabic" w:hAnsi="Noto Sans Arabic" w:cs="Noto Sans Arabic"/>
                <w:b w:val="0"/>
                <w:sz w:val="18"/>
              </w:rPr>
              <w:t>................</w:t>
            </w:r>
          </w:p>
        </w:tc>
        <w:tc>
          <w:tcPr>
            <w:tcW w:type="dxa" w:w="3437"/>
          </w:tcPr>
          <w:p>
            <w:pPr>
              <w:bidi w:val="1"/>
              <w:spacing w:after="0"/>
              <w:jc w:val="right"/>
            </w:pPr>
            <w:r>
              <w:rPr>
                <w:rFonts w:ascii="Noto Sans Arabic" w:hAnsi="Noto Sans Arabic" w:cs="Noto Sans Arabic"/>
                <w:b w:val="0"/>
                <w:sz w:val="18"/>
              </w:rPr>
              <w:t>................</w:t>
            </w:r>
          </w:p>
        </w:tc>
      </w:tr>
      <w:tr>
        <w:tc>
          <w:tcPr>
            <w:tcW w:type="dxa" w:w="3437"/>
          </w:tcPr>
          <w:p>
            <w:pPr>
              <w:bidi w:val="1"/>
              <w:spacing w:after="0"/>
              <w:jc w:val="right"/>
            </w:pPr>
            <w:r>
              <w:rPr>
                <w:rFonts w:ascii="Noto Sans Arabic" w:hAnsi="Noto Sans Arabic" w:cs="Noto Sans Arabic"/>
                <w:b w:val="0"/>
                <w:sz w:val="18"/>
              </w:rPr>
              <w:t>اخذ مجوز/پروانه</w:t>
            </w:r>
          </w:p>
        </w:tc>
        <w:tc>
          <w:tcPr>
            <w:tcW w:type="dxa" w:w="3437"/>
          </w:tcPr>
          <w:p>
            <w:pPr>
              <w:bidi w:val="1"/>
              <w:spacing w:after="0"/>
              <w:jc w:val="right"/>
            </w:pPr>
            <w:r>
              <w:rPr>
                <w:rFonts w:ascii="Noto Sans Arabic" w:hAnsi="Noto Sans Arabic" w:cs="Noto Sans Arabic"/>
                <w:b w:val="0"/>
                <w:sz w:val="18"/>
              </w:rPr>
              <w:t>................</w:t>
            </w:r>
          </w:p>
        </w:tc>
        <w:tc>
          <w:tcPr>
            <w:tcW w:type="dxa" w:w="3437"/>
          </w:tcPr>
          <w:p>
            <w:pPr>
              <w:bidi w:val="1"/>
              <w:spacing w:after="0"/>
              <w:jc w:val="right"/>
            </w:pPr>
            <w:r>
              <w:rPr>
                <w:rFonts w:ascii="Noto Sans Arabic" w:hAnsi="Noto Sans Arabic" w:cs="Noto Sans Arabic"/>
                <w:b w:val="0"/>
                <w:sz w:val="18"/>
              </w:rPr>
              <w:t>................</w:t>
            </w:r>
          </w:p>
        </w:tc>
      </w:tr>
      <w:tr>
        <w:tc>
          <w:tcPr>
            <w:tcW w:type="dxa" w:w="3437"/>
          </w:tcPr>
          <w:p>
            <w:pPr>
              <w:bidi w:val="1"/>
              <w:spacing w:after="0"/>
              <w:jc w:val="right"/>
            </w:pPr>
            <w:r>
              <w:rPr>
                <w:rFonts w:ascii="Noto Sans Arabic" w:hAnsi="Noto Sans Arabic" w:cs="Noto Sans Arabic"/>
                <w:b w:val="0"/>
                <w:sz w:val="18"/>
              </w:rPr>
              <w:t>تخریب و گودبرداری</w:t>
            </w:r>
          </w:p>
        </w:tc>
        <w:tc>
          <w:tcPr>
            <w:tcW w:type="dxa" w:w="3437"/>
          </w:tcPr>
          <w:p>
            <w:pPr>
              <w:bidi w:val="1"/>
              <w:spacing w:after="0"/>
              <w:jc w:val="right"/>
            </w:pPr>
            <w:r>
              <w:rPr>
                <w:rFonts w:ascii="Noto Sans Arabic" w:hAnsi="Noto Sans Arabic" w:cs="Noto Sans Arabic"/>
                <w:b w:val="0"/>
                <w:sz w:val="18"/>
              </w:rPr>
              <w:t>................</w:t>
            </w:r>
          </w:p>
        </w:tc>
        <w:tc>
          <w:tcPr>
            <w:tcW w:type="dxa" w:w="3437"/>
          </w:tcPr>
          <w:p>
            <w:pPr>
              <w:bidi w:val="1"/>
              <w:spacing w:after="0"/>
              <w:jc w:val="right"/>
            </w:pPr>
            <w:r>
              <w:rPr>
                <w:rFonts w:ascii="Noto Sans Arabic" w:hAnsi="Noto Sans Arabic" w:cs="Noto Sans Arabic"/>
                <w:b w:val="0"/>
                <w:sz w:val="18"/>
              </w:rPr>
              <w:t>................</w:t>
            </w:r>
          </w:p>
        </w:tc>
      </w:tr>
      <w:tr>
        <w:tc>
          <w:tcPr>
            <w:tcW w:type="dxa" w:w="3437"/>
          </w:tcPr>
          <w:p>
            <w:pPr>
              <w:bidi w:val="1"/>
              <w:spacing w:after="0"/>
              <w:jc w:val="right"/>
            </w:pPr>
            <w:r>
              <w:rPr>
                <w:rFonts w:ascii="Noto Sans Arabic" w:hAnsi="Noto Sans Arabic" w:cs="Noto Sans Arabic"/>
                <w:b w:val="0"/>
                <w:sz w:val="18"/>
              </w:rPr>
              <w:t>اتمام اسکلت</w:t>
            </w:r>
          </w:p>
        </w:tc>
        <w:tc>
          <w:tcPr>
            <w:tcW w:type="dxa" w:w="3437"/>
          </w:tcPr>
          <w:p>
            <w:pPr>
              <w:bidi w:val="1"/>
              <w:spacing w:after="0"/>
              <w:jc w:val="right"/>
            </w:pPr>
            <w:r>
              <w:rPr>
                <w:rFonts w:ascii="Noto Sans Arabic" w:hAnsi="Noto Sans Arabic" w:cs="Noto Sans Arabic"/>
                <w:b w:val="0"/>
                <w:sz w:val="18"/>
              </w:rPr>
              <w:t>................</w:t>
            </w:r>
          </w:p>
        </w:tc>
        <w:tc>
          <w:tcPr>
            <w:tcW w:type="dxa" w:w="3437"/>
          </w:tcPr>
          <w:p>
            <w:pPr>
              <w:bidi w:val="1"/>
              <w:spacing w:after="0"/>
              <w:jc w:val="right"/>
            </w:pPr>
            <w:r>
              <w:rPr>
                <w:rFonts w:ascii="Noto Sans Arabic" w:hAnsi="Noto Sans Arabic" w:cs="Noto Sans Arabic"/>
                <w:b w:val="0"/>
                <w:sz w:val="18"/>
              </w:rPr>
              <w:t>................</w:t>
            </w:r>
          </w:p>
        </w:tc>
      </w:tr>
      <w:tr>
        <w:tc>
          <w:tcPr>
            <w:tcW w:type="dxa" w:w="3437"/>
          </w:tcPr>
          <w:p>
            <w:pPr>
              <w:bidi w:val="1"/>
              <w:spacing w:after="0"/>
              <w:jc w:val="right"/>
            </w:pPr>
            <w:r>
              <w:rPr>
                <w:rFonts w:ascii="Noto Sans Arabic" w:hAnsi="Noto Sans Arabic" w:cs="Noto Sans Arabic"/>
                <w:b w:val="0"/>
                <w:sz w:val="18"/>
              </w:rPr>
              <w:t>اتمام سفت‌کاری</w:t>
            </w:r>
          </w:p>
        </w:tc>
        <w:tc>
          <w:tcPr>
            <w:tcW w:type="dxa" w:w="3437"/>
          </w:tcPr>
          <w:p>
            <w:pPr>
              <w:bidi w:val="1"/>
              <w:spacing w:after="0"/>
              <w:jc w:val="right"/>
            </w:pPr>
            <w:r>
              <w:rPr>
                <w:rFonts w:ascii="Noto Sans Arabic" w:hAnsi="Noto Sans Arabic" w:cs="Noto Sans Arabic"/>
                <w:b w:val="0"/>
                <w:sz w:val="18"/>
              </w:rPr>
              <w:t>................</w:t>
            </w:r>
          </w:p>
        </w:tc>
        <w:tc>
          <w:tcPr>
            <w:tcW w:type="dxa" w:w="3437"/>
          </w:tcPr>
          <w:p>
            <w:pPr>
              <w:bidi w:val="1"/>
              <w:spacing w:after="0"/>
              <w:jc w:val="right"/>
            </w:pPr>
            <w:r>
              <w:rPr>
                <w:rFonts w:ascii="Noto Sans Arabic" w:hAnsi="Noto Sans Arabic" w:cs="Noto Sans Arabic"/>
                <w:b w:val="0"/>
                <w:sz w:val="18"/>
              </w:rPr>
              <w:t>................</w:t>
            </w:r>
          </w:p>
        </w:tc>
      </w:tr>
      <w:tr>
        <w:tc>
          <w:tcPr>
            <w:tcW w:type="dxa" w:w="3437"/>
          </w:tcPr>
          <w:p>
            <w:pPr>
              <w:bidi w:val="1"/>
              <w:spacing w:after="0"/>
              <w:jc w:val="right"/>
            </w:pPr>
            <w:r>
              <w:rPr>
                <w:rFonts w:ascii="Noto Sans Arabic" w:hAnsi="Noto Sans Arabic" w:cs="Noto Sans Arabic"/>
                <w:b w:val="0"/>
                <w:sz w:val="18"/>
              </w:rPr>
              <w:t>اتمام نازک‌کاری</w:t>
            </w:r>
          </w:p>
        </w:tc>
        <w:tc>
          <w:tcPr>
            <w:tcW w:type="dxa" w:w="3437"/>
          </w:tcPr>
          <w:p>
            <w:pPr>
              <w:bidi w:val="1"/>
              <w:spacing w:after="0"/>
              <w:jc w:val="right"/>
            </w:pPr>
            <w:r>
              <w:rPr>
                <w:rFonts w:ascii="Noto Sans Arabic" w:hAnsi="Noto Sans Arabic" w:cs="Noto Sans Arabic"/>
                <w:b w:val="0"/>
                <w:sz w:val="18"/>
              </w:rPr>
              <w:t>................</w:t>
            </w:r>
          </w:p>
        </w:tc>
        <w:tc>
          <w:tcPr>
            <w:tcW w:type="dxa" w:w="3437"/>
          </w:tcPr>
          <w:p>
            <w:pPr>
              <w:bidi w:val="1"/>
              <w:spacing w:after="0"/>
              <w:jc w:val="right"/>
            </w:pPr>
            <w:r>
              <w:rPr>
                <w:rFonts w:ascii="Noto Sans Arabic" w:hAnsi="Noto Sans Arabic" w:cs="Noto Sans Arabic"/>
                <w:b w:val="0"/>
                <w:sz w:val="18"/>
              </w:rPr>
              <w:t>................</w:t>
            </w:r>
          </w:p>
        </w:tc>
      </w:tr>
      <w:tr>
        <w:tc>
          <w:tcPr>
            <w:tcW w:type="dxa" w:w="3437"/>
          </w:tcPr>
          <w:p>
            <w:pPr>
              <w:bidi w:val="1"/>
              <w:spacing w:after="0"/>
              <w:jc w:val="right"/>
            </w:pPr>
            <w:r>
              <w:rPr>
                <w:rFonts w:ascii="Noto Sans Arabic" w:hAnsi="Noto Sans Arabic" w:cs="Noto Sans Arabic"/>
                <w:b w:val="0"/>
                <w:sz w:val="18"/>
              </w:rPr>
              <w:t>اخذ پایان کار/مدارک نهایی</w:t>
            </w:r>
          </w:p>
        </w:tc>
        <w:tc>
          <w:tcPr>
            <w:tcW w:type="dxa" w:w="3437"/>
          </w:tcPr>
          <w:p>
            <w:pPr>
              <w:bidi w:val="1"/>
              <w:spacing w:after="0"/>
              <w:jc w:val="right"/>
            </w:pPr>
            <w:r>
              <w:rPr>
                <w:rFonts w:ascii="Noto Sans Arabic" w:hAnsi="Noto Sans Arabic" w:cs="Noto Sans Arabic"/>
                <w:b w:val="0"/>
                <w:sz w:val="18"/>
              </w:rPr>
              <w:t>................</w:t>
            </w:r>
          </w:p>
        </w:tc>
        <w:tc>
          <w:tcPr>
            <w:tcW w:type="dxa" w:w="3437"/>
          </w:tcPr>
          <w:p>
            <w:pPr>
              <w:bidi w:val="1"/>
              <w:spacing w:after="0"/>
              <w:jc w:val="right"/>
            </w:pPr>
            <w:r>
              <w:rPr>
                <w:rFonts w:ascii="Noto Sans Arabic" w:hAnsi="Noto Sans Arabic" w:cs="Noto Sans Arabic"/>
                <w:b w:val="0"/>
                <w:sz w:val="18"/>
              </w:rPr>
              <w:t>................</w:t>
            </w:r>
          </w:p>
        </w:tc>
      </w:tr>
      <w:tr>
        <w:tc>
          <w:tcPr>
            <w:tcW w:type="dxa" w:w="3437"/>
          </w:tcPr>
          <w:p>
            <w:pPr>
              <w:bidi w:val="1"/>
              <w:spacing w:after="0"/>
              <w:jc w:val="right"/>
            </w:pPr>
            <w:r>
              <w:rPr>
                <w:rFonts w:ascii="Noto Sans Arabic" w:hAnsi="Noto Sans Arabic" w:cs="Noto Sans Arabic"/>
                <w:b w:val="0"/>
                <w:sz w:val="18"/>
              </w:rPr>
              <w:t>تحویل نهایی</w:t>
            </w:r>
          </w:p>
        </w:tc>
        <w:tc>
          <w:tcPr>
            <w:tcW w:type="dxa" w:w="3437"/>
          </w:tcPr>
          <w:p>
            <w:pPr>
              <w:bidi w:val="1"/>
              <w:spacing w:after="0"/>
              <w:jc w:val="right"/>
            </w:pPr>
            <w:r>
              <w:rPr>
                <w:rFonts w:ascii="Noto Sans Arabic" w:hAnsi="Noto Sans Arabic" w:cs="Noto Sans Arabic"/>
                <w:b w:val="0"/>
                <w:sz w:val="18"/>
              </w:rPr>
              <w:t>................</w:t>
            </w:r>
          </w:p>
        </w:tc>
        <w:tc>
          <w:tcPr>
            <w:tcW w:type="dxa" w:w="3437"/>
          </w:tcPr>
          <w:p>
            <w:pPr>
              <w:bidi w:val="1"/>
              <w:spacing w:after="0"/>
              <w:jc w:val="right"/>
            </w:pPr>
            <w:r>
              <w:rPr>
                <w:rFonts w:ascii="Noto Sans Arabic" w:hAnsi="Noto Sans Arabic" w:cs="Noto Sans Arabic"/>
                <w:b w:val="0"/>
                <w:sz w:val="18"/>
              </w:rPr>
              <w:t>................</w:t>
            </w:r>
          </w:p>
        </w:tc>
      </w:tr>
    </w:tbl>
    <w:p>
      <w:pPr>
        <w:widowControl/>
        <w:bidi w:val="1"/>
        <w:spacing w:line="288" w:lineRule="auto" w:after="80"/>
        <w:jc w:val="right"/>
      </w:pPr>
      <w:r>
        <w:rPr>
          <w:rFonts w:ascii="Noto Sans Arabic" w:hAnsi="Noto Sans Arabic" w:cs="Noto Sans Arabic"/>
          <w:b w:val="0"/>
          <w:sz w:val="21"/>
        </w:rPr>
        <w:t>۷-۲ تمدید مهلت فقط در موارد مندرج در قرارداد، توافق کتبی/رسمی لازم یا وقوع حوادث خارج از کنترل طبق ماده ۱۷ انجام می‌شود.</w:t>
      </w:r>
    </w:p>
    <w:p>
      <w:pPr>
        <w:pStyle w:val="Heading2"/>
        <w:keepNext/>
        <w:widowControl/>
        <w:bidi w:val="1"/>
        <w:spacing w:before="180" w:after="80"/>
        <w:jc w:val="right"/>
      </w:pPr>
      <w:r>
        <w:rPr>
          <w:rFonts w:ascii="Noto Sans Arabic" w:hAnsi="Noto Sans Arabic" w:cs="Noto Sans Arabic"/>
          <w:b/>
          <w:color w:val="1F4E79"/>
          <w:sz w:val="24"/>
        </w:rPr>
        <w:t>ماده ۸ - تعهدات مالک</w:t>
      </w:r>
    </w:p>
    <w:p>
      <w:pPr>
        <w:widowControl/>
        <w:bidi w:val="1"/>
        <w:spacing w:line="288" w:lineRule="auto" w:after="80"/>
        <w:jc w:val="right"/>
      </w:pPr>
      <w:r>
        <w:rPr>
          <w:rFonts w:ascii="Noto Sans Arabic" w:hAnsi="Noto Sans Arabic" w:cs="Noto Sans Arabic"/>
          <w:b w:val="0"/>
          <w:sz w:val="21"/>
        </w:rPr>
        <w:t>• ارائه اسناد صحیح و همکاری در استعلام‌ها و تشریفات قانونی در حدود قرارداد.</w:t>
      </w:r>
    </w:p>
    <w:p>
      <w:pPr>
        <w:widowControl/>
        <w:bidi w:val="1"/>
        <w:spacing w:line="288" w:lineRule="auto" w:after="80"/>
        <w:jc w:val="right"/>
      </w:pPr>
      <w:r>
        <w:rPr>
          <w:rFonts w:ascii="Noto Sans Arabic" w:hAnsi="Noto Sans Arabic" w:cs="Noto Sans Arabic"/>
          <w:b w:val="0"/>
          <w:sz w:val="21"/>
        </w:rPr>
        <w:t>• تحویل ملک در موعد و شرایط مقرر پس از تحقق شروط قراردادی.</w:t>
      </w:r>
    </w:p>
    <w:p>
      <w:pPr>
        <w:widowControl/>
        <w:bidi w:val="1"/>
        <w:spacing w:line="288" w:lineRule="auto" w:after="80"/>
        <w:jc w:val="right"/>
      </w:pPr>
      <w:r>
        <w:rPr>
          <w:rFonts w:ascii="Noto Sans Arabic" w:hAnsi="Noto Sans Arabic" w:cs="Noto Sans Arabic"/>
          <w:b w:val="0"/>
          <w:sz w:val="21"/>
        </w:rPr>
        <w:t>• خودداری از ایجاد حقوق متعارض، انتقال یا تعهد نسبت به ملک برخلاف مفاد قرارداد.</w:t>
      </w:r>
    </w:p>
    <w:p>
      <w:pPr>
        <w:widowControl/>
        <w:bidi w:val="1"/>
        <w:spacing w:line="288" w:lineRule="auto" w:after="80"/>
        <w:jc w:val="right"/>
      </w:pPr>
      <w:r>
        <w:rPr>
          <w:rFonts w:ascii="Noto Sans Arabic" w:hAnsi="Noto Sans Arabic" w:cs="Noto Sans Arabic"/>
          <w:b w:val="0"/>
          <w:sz w:val="21"/>
        </w:rPr>
        <w:t>• حضور و امضای اسناد لازم در مراحل قانونی و رسمی، مشروط به انجام تعهدات متقابل.</w:t>
      </w:r>
    </w:p>
    <w:p>
      <w:pPr>
        <w:widowControl/>
        <w:bidi w:val="1"/>
        <w:spacing w:line="288" w:lineRule="auto" w:after="80"/>
        <w:jc w:val="right"/>
      </w:pPr>
      <w:r>
        <w:rPr>
          <w:rFonts w:ascii="Noto Sans Arabic" w:hAnsi="Noto Sans Arabic" w:cs="Noto Sans Arabic"/>
          <w:b w:val="0"/>
          <w:sz w:val="21"/>
        </w:rPr>
        <w:t>• پرداخت هزینه‌هایی که صریحاً بر عهده مالک قرار گرفته است.</w:t>
      </w:r>
    </w:p>
    <w:p>
      <w:pPr>
        <w:pStyle w:val="Heading2"/>
        <w:keepNext/>
        <w:widowControl/>
        <w:bidi w:val="1"/>
        <w:spacing w:before="180" w:after="80"/>
        <w:jc w:val="right"/>
      </w:pPr>
      <w:r>
        <w:rPr>
          <w:rFonts w:ascii="Noto Sans Arabic" w:hAnsi="Noto Sans Arabic" w:cs="Noto Sans Arabic"/>
          <w:b/>
          <w:color w:val="1F4E79"/>
          <w:sz w:val="24"/>
        </w:rPr>
        <w:t>ماده ۹ - تعهدات سازنده</w:t>
      </w:r>
    </w:p>
    <w:p>
      <w:pPr>
        <w:widowControl/>
        <w:bidi w:val="1"/>
        <w:spacing w:line="288" w:lineRule="auto" w:after="80"/>
        <w:jc w:val="right"/>
      </w:pPr>
      <w:r>
        <w:rPr>
          <w:rFonts w:ascii="Noto Sans Arabic" w:hAnsi="Noto Sans Arabic" w:cs="Noto Sans Arabic"/>
          <w:b w:val="0"/>
          <w:sz w:val="21"/>
        </w:rPr>
        <w:t>• پیگیری و اخذ مجوزهای لازم در حدود اختیارات و تعهدات مقرر.</w:t>
      </w:r>
    </w:p>
    <w:p>
      <w:pPr>
        <w:widowControl/>
        <w:bidi w:val="1"/>
        <w:spacing w:line="288" w:lineRule="auto" w:after="80"/>
        <w:jc w:val="right"/>
      </w:pPr>
      <w:r>
        <w:rPr>
          <w:rFonts w:ascii="Noto Sans Arabic" w:hAnsi="Noto Sans Arabic" w:cs="Noto Sans Arabic"/>
          <w:b w:val="0"/>
          <w:sz w:val="21"/>
        </w:rPr>
        <w:t>• تأمین هزینه‌ها و اجرای عملیات مطابق پیوست مالی و فنی.</w:t>
      </w:r>
    </w:p>
    <w:p>
      <w:pPr>
        <w:widowControl/>
        <w:bidi w:val="1"/>
        <w:spacing w:line="288" w:lineRule="auto" w:after="80"/>
        <w:jc w:val="right"/>
      </w:pPr>
      <w:r>
        <w:rPr>
          <w:rFonts w:ascii="Noto Sans Arabic" w:hAnsi="Noto Sans Arabic" w:cs="Noto Sans Arabic"/>
          <w:b w:val="0"/>
          <w:sz w:val="21"/>
        </w:rPr>
        <w:t>• رعایت ضوابط شهرسازی، مقررات ملی ساختمان و الزامات ایمنی حسب مورد.</w:t>
      </w:r>
    </w:p>
    <w:p>
      <w:pPr>
        <w:widowControl/>
        <w:bidi w:val="1"/>
        <w:spacing w:line="288" w:lineRule="auto" w:after="80"/>
        <w:jc w:val="right"/>
      </w:pPr>
      <w:r>
        <w:rPr>
          <w:rFonts w:ascii="Noto Sans Arabic" w:hAnsi="Noto Sans Arabic" w:cs="Noto Sans Arabic"/>
          <w:b w:val="0"/>
          <w:sz w:val="21"/>
        </w:rPr>
        <w:t>• رعایت برنامه زمانی و ارائه گزارش/مدارک پیشرفت در نقاط کنترل.</w:t>
      </w:r>
    </w:p>
    <w:p>
      <w:pPr>
        <w:widowControl/>
        <w:bidi w:val="1"/>
        <w:spacing w:line="288" w:lineRule="auto" w:after="80"/>
        <w:jc w:val="right"/>
      </w:pPr>
      <w:r>
        <w:rPr>
          <w:rFonts w:ascii="Noto Sans Arabic" w:hAnsi="Noto Sans Arabic" w:cs="Noto Sans Arabic"/>
          <w:b w:val="0"/>
          <w:sz w:val="21"/>
        </w:rPr>
        <w:t>• خودداری از پیش‌فروش، انتقال یا ایجاد حق برای اشخاص ثالث خارج از حدود اختیار این قرارداد.</w:t>
      </w:r>
    </w:p>
    <w:p>
      <w:pPr>
        <w:widowControl/>
        <w:bidi w:val="1"/>
        <w:spacing w:line="288" w:lineRule="auto" w:after="80"/>
        <w:jc w:val="right"/>
      </w:pPr>
      <w:r>
        <w:rPr>
          <w:rFonts w:ascii="Noto Sans Arabic" w:hAnsi="Noto Sans Arabic" w:cs="Noto Sans Arabic"/>
          <w:b w:val="0"/>
          <w:sz w:val="21"/>
        </w:rPr>
        <w:t>• پیگیری پایان کار، صورت‌مجلس تفکیکی و سایر مدارک نهایی در حدود تعهدات مقرر.</w:t>
      </w:r>
    </w:p>
    <w:p>
      <w:pPr>
        <w:pStyle w:val="Heading2"/>
        <w:keepNext/>
        <w:widowControl/>
        <w:bidi w:val="1"/>
        <w:spacing w:before="180" w:after="80"/>
        <w:jc w:val="right"/>
      </w:pPr>
      <w:r>
        <w:rPr>
          <w:rFonts w:ascii="Noto Sans Arabic" w:hAnsi="Noto Sans Arabic" w:cs="Noto Sans Arabic"/>
          <w:b/>
          <w:color w:val="1F4E79"/>
          <w:sz w:val="24"/>
        </w:rPr>
        <w:t>ماده ۱۰ - هزینه‌ها، مالیات، عوارض، بیمه و انشعابات</w:t>
      </w:r>
    </w:p>
    <w:p>
      <w:pPr>
        <w:widowControl/>
        <w:bidi w:val="1"/>
        <w:spacing w:line="288" w:lineRule="auto" w:after="80"/>
        <w:jc w:val="right"/>
      </w:pPr>
      <w:r>
        <w:rPr>
          <w:rFonts w:ascii="Noto Sans Arabic" w:hAnsi="Noto Sans Arabic" w:cs="Noto Sans Arabic"/>
          <w:b w:val="0"/>
          <w:sz w:val="21"/>
        </w:rPr>
        <w:t>مسئول هر یک از هزینه‌های زیر باید به‌طور جداگانه تعیین شود: عوارض شهرداری و تراکم، طراحی و نظارت، بیمه، انشعابات، مالیات‌ها، هزینه‌های ثبتی و دفترخانه، جرایم ساختمانی ناشی از تخلف، هزینه رفع رهن/بازداشت و هزینه‌های پیش‌بینی‌نشده. جدول تفصیلی در پیوست مالی درج می‌شود.</w:t>
      </w:r>
    </w:p>
    <w:p>
      <w:pPr>
        <w:pStyle w:val="Heading2"/>
        <w:keepNext/>
        <w:widowControl/>
        <w:bidi w:val="1"/>
        <w:spacing w:before="180" w:after="80"/>
        <w:jc w:val="right"/>
      </w:pPr>
      <w:r>
        <w:rPr>
          <w:rFonts w:ascii="Noto Sans Arabic" w:hAnsi="Noto Sans Arabic" w:cs="Noto Sans Arabic"/>
          <w:b/>
          <w:color w:val="1F4E79"/>
          <w:sz w:val="24"/>
        </w:rPr>
        <w:t>ماده ۱۱ - انتقال حقوق، سند و وکالت</w:t>
      </w:r>
    </w:p>
    <w:p>
      <w:pPr>
        <w:widowControl/>
        <w:bidi w:val="1"/>
        <w:spacing w:line="288" w:lineRule="auto" w:after="80"/>
        <w:jc w:val="right"/>
      </w:pPr>
      <w:r>
        <w:rPr>
          <w:rFonts w:ascii="Noto Sans Arabic" w:hAnsi="Noto Sans Arabic" w:cs="Noto Sans Arabic"/>
          <w:b w:val="0"/>
          <w:sz w:val="21"/>
        </w:rPr>
        <w:t>۱۱-۱ انتقال هر بخش از حقوق مالک به سازنده صرفاً در مراحل زیر و پس از احراز تحقق نقطه کنترل انجام می‌شود: ................................................</w:t>
      </w:r>
    </w:p>
    <w:p>
      <w:pPr>
        <w:widowControl/>
        <w:bidi w:val="1"/>
        <w:spacing w:line="288" w:lineRule="auto" w:after="80"/>
        <w:jc w:val="right"/>
      </w:pPr>
      <w:r>
        <w:rPr>
          <w:rFonts w:ascii="Noto Sans Arabic" w:hAnsi="Noto Sans Arabic" w:cs="Noto Sans Arabic"/>
          <w:b w:val="0"/>
          <w:sz w:val="21"/>
        </w:rPr>
        <w:t>۱۱-۲ هیچ انتقال یا وکالت کلی خارج از نیاز پروژه ایجاد نمی‌شود مگر با تصریح موضوع، حدود اختیار، مدت و شرایط استفاده.</w:t>
      </w:r>
    </w:p>
    <w:p>
      <w:pPr>
        <w:widowControl/>
        <w:bidi w:val="1"/>
        <w:spacing w:line="288" w:lineRule="auto" w:after="80"/>
        <w:jc w:val="right"/>
      </w:pPr>
      <w:r>
        <w:rPr>
          <w:rFonts w:ascii="Noto Sans Arabic" w:hAnsi="Noto Sans Arabic" w:cs="Noto Sans Arabic"/>
          <w:b w:val="0"/>
          <w:sz w:val="21"/>
        </w:rPr>
        <w:t>۱۱-۳ وکالت جایگزین تعهدات قراردادی و ثبت رسمی نیست و آثار فوت/حجر و سایر اسباب زوال وکالت تابع قانون خواهد بود.</w:t>
      </w:r>
    </w:p>
    <w:p>
      <w:pPr>
        <w:pStyle w:val="Heading2"/>
        <w:keepNext/>
        <w:widowControl/>
        <w:bidi w:val="1"/>
        <w:spacing w:before="180" w:after="80"/>
        <w:jc w:val="right"/>
      </w:pPr>
      <w:r>
        <w:rPr>
          <w:rFonts w:ascii="Noto Sans Arabic" w:hAnsi="Noto Sans Arabic" w:cs="Noto Sans Arabic"/>
          <w:b/>
          <w:color w:val="1F4E79"/>
          <w:sz w:val="24"/>
        </w:rPr>
        <w:t>ماده ۱۲ - پیش‌فروش و انتقال به اشخاص ثالث</w:t>
      </w:r>
    </w:p>
    <w:p>
      <w:pPr>
        <w:widowControl/>
        <w:bidi w:val="1"/>
        <w:spacing w:line="288" w:lineRule="auto" w:after="80"/>
        <w:jc w:val="right"/>
      </w:pPr>
      <w:r>
        <w:rPr>
          <w:rFonts w:ascii="Noto Sans Arabic" w:hAnsi="Noto Sans Arabic" w:cs="Noto Sans Arabic"/>
          <w:b w:val="0"/>
          <w:sz w:val="21"/>
        </w:rPr>
        <w:t>۱۲-۱ سازنده بدون اختیار صریح و رعایت مقررات خاص و تشریفات ثبت رسمی حق پیش‌فروش یا انتقال حقوق ناشی از پروژه را ندارد.</w:t>
      </w:r>
    </w:p>
    <w:p>
      <w:pPr>
        <w:widowControl/>
        <w:bidi w:val="1"/>
        <w:spacing w:line="288" w:lineRule="auto" w:after="80"/>
        <w:jc w:val="right"/>
      </w:pPr>
      <w:r>
        <w:rPr>
          <w:rFonts w:ascii="Noto Sans Arabic" w:hAnsi="Noto Sans Arabic" w:cs="Noto Sans Arabic"/>
          <w:b w:val="0"/>
          <w:sz w:val="21"/>
        </w:rPr>
        <w:t>۱۲-۲ در صورت اعطای اختیار، مرحله مجاز پیش‌فروش: ........................؛ سقف/تعداد: ........................؛ لزوم تأیید مالک: ........................؛ نحوه و محل ثبت رسمی: ........................ .</w:t>
      </w:r>
    </w:p>
    <w:p>
      <w:pPr>
        <w:widowControl/>
        <w:bidi w:val="1"/>
        <w:spacing w:line="288" w:lineRule="auto" w:after="80"/>
        <w:jc w:val="right"/>
      </w:pPr>
      <w:r>
        <w:rPr>
          <w:rFonts w:ascii="Noto Sans Arabic" w:hAnsi="Noto Sans Arabic" w:cs="Noto Sans Arabic"/>
          <w:b w:val="0"/>
          <w:sz w:val="21"/>
        </w:rPr>
        <w:t>۱۲-۳ پیش‌فروش یا انتقال برخلاف این ماده، تخلف اساسی محسوب می‌شود و ضمانت اجرای آن: ................................................</w:t>
      </w:r>
    </w:p>
    <w:p>
      <w:pPr>
        <w:pStyle w:val="Heading2"/>
        <w:keepNext/>
        <w:widowControl/>
        <w:bidi w:val="1"/>
        <w:spacing w:before="180" w:after="80"/>
        <w:jc w:val="right"/>
      </w:pPr>
      <w:r>
        <w:rPr>
          <w:rFonts w:ascii="Noto Sans Arabic" w:hAnsi="Noto Sans Arabic" w:cs="Noto Sans Arabic"/>
          <w:b/>
          <w:color w:val="1F4E79"/>
          <w:sz w:val="24"/>
        </w:rPr>
        <w:t>ماده ۱۳ - تضمین‌ها و وجه التزام</w:t>
      </w:r>
    </w:p>
    <w:tbl>
      <w:tblPr>
        <w:tblStyle w:val="TableGrid"/>
        <w:tblW w:type="auto" w:w="0"/>
        <w:jc w:val="center"/>
        <w:tblLook w:firstColumn="1" w:firstRow="1" w:lastColumn="0" w:lastRow="0" w:noHBand="0" w:noVBand="1" w:val="04A0"/>
      </w:tblPr>
      <w:tblGrid>
        <w:gridCol w:w="2062"/>
        <w:gridCol w:w="2062"/>
        <w:gridCol w:w="2062"/>
        <w:gridCol w:w="2062"/>
        <w:gridCol w:w="2062"/>
      </w:tblGrid>
      <w:tr>
        <w:tc>
          <w:tcPr>
            <w:tcW w:type="dxa" w:w="2062"/>
            <w:shd w:fill="D9EAF7"/>
            <w:vAlign w:val="center"/>
          </w:tcPr>
          <w:p>
            <w:pPr>
              <w:bidi w:val="1"/>
              <w:jc w:val="right"/>
            </w:pPr>
            <w:r>
              <w:rPr>
                <w:rFonts w:ascii="Noto Sans Arabic" w:hAnsi="Noto Sans Arabic" w:cs="Noto Sans Arabic"/>
                <w:b/>
                <w:sz w:val="19"/>
              </w:rPr>
              <w:t>تعهد تضمین‌شده</w:t>
            </w:r>
          </w:p>
        </w:tc>
        <w:tc>
          <w:tcPr>
            <w:tcW w:type="dxa" w:w="2062"/>
            <w:shd w:fill="D9EAF7"/>
            <w:vAlign w:val="center"/>
          </w:tcPr>
          <w:p>
            <w:pPr>
              <w:bidi w:val="1"/>
              <w:jc w:val="right"/>
            </w:pPr>
            <w:r>
              <w:rPr>
                <w:rFonts w:ascii="Noto Sans Arabic" w:hAnsi="Noto Sans Arabic" w:cs="Noto Sans Arabic"/>
                <w:b/>
                <w:sz w:val="19"/>
              </w:rPr>
              <w:t>نوع تضمین</w:t>
            </w:r>
          </w:p>
        </w:tc>
        <w:tc>
          <w:tcPr>
            <w:tcW w:type="dxa" w:w="2062"/>
            <w:shd w:fill="D9EAF7"/>
            <w:vAlign w:val="center"/>
          </w:tcPr>
          <w:p>
            <w:pPr>
              <w:bidi w:val="1"/>
              <w:jc w:val="right"/>
            </w:pPr>
            <w:r>
              <w:rPr>
                <w:rFonts w:ascii="Noto Sans Arabic" w:hAnsi="Noto Sans Arabic" w:cs="Noto Sans Arabic"/>
                <w:b/>
                <w:sz w:val="19"/>
              </w:rPr>
              <w:t>مبلغ/مشخصات</w:t>
            </w:r>
          </w:p>
        </w:tc>
        <w:tc>
          <w:tcPr>
            <w:tcW w:type="dxa" w:w="2062"/>
            <w:shd w:fill="D9EAF7"/>
            <w:vAlign w:val="center"/>
          </w:tcPr>
          <w:p>
            <w:pPr>
              <w:bidi w:val="1"/>
              <w:jc w:val="right"/>
            </w:pPr>
            <w:r>
              <w:rPr>
                <w:rFonts w:ascii="Noto Sans Arabic" w:hAnsi="Noto Sans Arabic" w:cs="Noto Sans Arabic"/>
                <w:b/>
                <w:sz w:val="19"/>
              </w:rPr>
              <w:t>شرط استفاده</w:t>
            </w:r>
          </w:p>
        </w:tc>
        <w:tc>
          <w:tcPr>
            <w:tcW w:type="dxa" w:w="2062"/>
            <w:shd w:fill="D9EAF7"/>
            <w:vAlign w:val="center"/>
          </w:tcPr>
          <w:p>
            <w:pPr>
              <w:bidi w:val="1"/>
              <w:jc w:val="right"/>
            </w:pPr>
            <w:r>
              <w:rPr>
                <w:rFonts w:ascii="Noto Sans Arabic" w:hAnsi="Noto Sans Arabic" w:cs="Noto Sans Arabic"/>
                <w:b/>
                <w:sz w:val="19"/>
              </w:rPr>
              <w:t>شرط استرداد</w:t>
            </w:r>
          </w:p>
        </w:tc>
      </w:tr>
      <w:tr>
        <w:tc>
          <w:tcPr>
            <w:tcW w:type="dxa" w:w="2062"/>
          </w:tcPr>
          <w:p>
            <w:pPr>
              <w:bidi w:val="1"/>
              <w:spacing w:after="0"/>
              <w:jc w:val="right"/>
            </w:pPr>
            <w:r>
              <w:rPr>
                <w:rFonts w:ascii="Noto Sans Arabic" w:hAnsi="Noto Sans Arabic" w:cs="Noto Sans Arabic"/>
                <w:b w:val="0"/>
                <w:sz w:val="18"/>
              </w:rPr>
              <w:t>................................</w:t>
            </w:r>
          </w:p>
        </w:tc>
        <w:tc>
          <w:tcPr>
            <w:tcW w:type="dxa" w:w="2062"/>
          </w:tcPr>
          <w:p>
            <w:pPr>
              <w:bidi w:val="1"/>
              <w:spacing w:after="0"/>
              <w:jc w:val="right"/>
            </w:pPr>
            <w:r>
              <w:rPr>
                <w:rFonts w:ascii="Noto Sans Arabic" w:hAnsi="Noto Sans Arabic" w:cs="Noto Sans Arabic"/>
                <w:b w:val="0"/>
                <w:sz w:val="18"/>
              </w:rPr>
              <w:t>چک/سفته/ضمانت‌نامه</w:t>
            </w:r>
          </w:p>
        </w:tc>
        <w:tc>
          <w:tcPr>
            <w:tcW w:type="dxa" w:w="2062"/>
          </w:tcPr>
          <w:p>
            <w:pPr>
              <w:bidi w:val="1"/>
              <w:spacing w:after="0"/>
              <w:jc w:val="right"/>
            </w:pPr>
            <w:r>
              <w:rPr>
                <w:rFonts w:ascii="Noto Sans Arabic" w:hAnsi="Noto Sans Arabic" w:cs="Noto Sans Arabic"/>
                <w:b w:val="0"/>
                <w:sz w:val="18"/>
              </w:rPr>
              <w:t>................................</w:t>
            </w:r>
          </w:p>
        </w:tc>
        <w:tc>
          <w:tcPr>
            <w:tcW w:type="dxa" w:w="2062"/>
          </w:tcPr>
          <w:p>
            <w:pPr>
              <w:bidi w:val="1"/>
              <w:spacing w:after="0"/>
              <w:jc w:val="right"/>
            </w:pPr>
            <w:r>
              <w:rPr>
                <w:rFonts w:ascii="Noto Sans Arabic" w:hAnsi="Noto Sans Arabic" w:cs="Noto Sans Arabic"/>
                <w:b w:val="0"/>
                <w:sz w:val="18"/>
              </w:rPr>
              <w:t>................................</w:t>
            </w:r>
          </w:p>
        </w:tc>
        <w:tc>
          <w:tcPr>
            <w:tcW w:type="dxa" w:w="2062"/>
          </w:tcPr>
          <w:p>
            <w:pPr>
              <w:bidi w:val="1"/>
              <w:spacing w:after="0"/>
              <w:jc w:val="right"/>
            </w:pPr>
            <w:r>
              <w:rPr>
                <w:rFonts w:ascii="Noto Sans Arabic" w:hAnsi="Noto Sans Arabic" w:cs="Noto Sans Arabic"/>
                <w:b w:val="0"/>
                <w:sz w:val="18"/>
              </w:rPr>
              <w:t>................................</w:t>
            </w:r>
          </w:p>
        </w:tc>
      </w:tr>
      <w:tr>
        <w:tc>
          <w:tcPr>
            <w:tcW w:type="dxa" w:w="2062"/>
          </w:tcPr>
          <w:p>
            <w:pPr>
              <w:bidi w:val="1"/>
              <w:spacing w:after="0"/>
              <w:jc w:val="right"/>
            </w:pPr>
            <w:r>
              <w:rPr>
                <w:rFonts w:ascii="Noto Sans Arabic" w:hAnsi="Noto Sans Arabic" w:cs="Noto Sans Arabic"/>
                <w:b w:val="0"/>
                <w:sz w:val="18"/>
              </w:rPr>
              <w:t>................................</w:t>
            </w:r>
          </w:p>
        </w:tc>
        <w:tc>
          <w:tcPr>
            <w:tcW w:type="dxa" w:w="2062"/>
          </w:tcPr>
          <w:p>
            <w:pPr>
              <w:bidi w:val="1"/>
              <w:spacing w:after="0"/>
              <w:jc w:val="right"/>
            </w:pPr>
            <w:r>
              <w:rPr>
                <w:rFonts w:ascii="Noto Sans Arabic" w:hAnsi="Noto Sans Arabic" w:cs="Noto Sans Arabic"/>
                <w:b w:val="0"/>
                <w:sz w:val="18"/>
              </w:rPr>
              <w:t>چک/سفته/ضمانت‌نامه</w:t>
            </w:r>
          </w:p>
        </w:tc>
        <w:tc>
          <w:tcPr>
            <w:tcW w:type="dxa" w:w="2062"/>
          </w:tcPr>
          <w:p>
            <w:pPr>
              <w:bidi w:val="1"/>
              <w:spacing w:after="0"/>
              <w:jc w:val="right"/>
            </w:pPr>
            <w:r>
              <w:rPr>
                <w:rFonts w:ascii="Noto Sans Arabic" w:hAnsi="Noto Sans Arabic" w:cs="Noto Sans Arabic"/>
                <w:b w:val="0"/>
                <w:sz w:val="18"/>
              </w:rPr>
              <w:t>................................</w:t>
            </w:r>
          </w:p>
        </w:tc>
        <w:tc>
          <w:tcPr>
            <w:tcW w:type="dxa" w:w="2062"/>
          </w:tcPr>
          <w:p>
            <w:pPr>
              <w:bidi w:val="1"/>
              <w:spacing w:after="0"/>
              <w:jc w:val="right"/>
            </w:pPr>
            <w:r>
              <w:rPr>
                <w:rFonts w:ascii="Noto Sans Arabic" w:hAnsi="Noto Sans Arabic" w:cs="Noto Sans Arabic"/>
                <w:b w:val="0"/>
                <w:sz w:val="18"/>
              </w:rPr>
              <w:t>................................</w:t>
            </w:r>
          </w:p>
        </w:tc>
        <w:tc>
          <w:tcPr>
            <w:tcW w:type="dxa" w:w="2062"/>
          </w:tcPr>
          <w:p>
            <w:pPr>
              <w:bidi w:val="1"/>
              <w:spacing w:after="0"/>
              <w:jc w:val="right"/>
            </w:pPr>
            <w:r>
              <w:rPr>
                <w:rFonts w:ascii="Noto Sans Arabic" w:hAnsi="Noto Sans Arabic" w:cs="Noto Sans Arabic"/>
                <w:b w:val="0"/>
                <w:sz w:val="18"/>
              </w:rPr>
              <w:t>................................</w:t>
            </w:r>
          </w:p>
        </w:tc>
      </w:tr>
    </w:tbl>
    <w:p>
      <w:pPr>
        <w:widowControl/>
        <w:bidi w:val="1"/>
        <w:spacing w:line="288" w:lineRule="auto" w:after="80"/>
        <w:jc w:val="right"/>
      </w:pPr>
      <w:r>
        <w:rPr>
          <w:rFonts w:ascii="Noto Sans Arabic" w:hAnsi="Noto Sans Arabic" w:cs="Noto Sans Arabic"/>
          <w:b w:val="0"/>
          <w:sz w:val="21"/>
        </w:rPr>
        <w:t>۱۳-۲ وجه التزام تأخیر/تخلف برای هر تعهد باید مستقل تعیین شود. نمونه: تأخیر در ........................ به ازای هر روز ........................ .</w:t>
      </w:r>
    </w:p>
    <w:p>
      <w:pPr>
        <w:widowControl/>
        <w:bidi w:val="1"/>
        <w:spacing w:line="288" w:lineRule="auto" w:after="80"/>
        <w:jc w:val="right"/>
      </w:pPr>
      <w:r>
        <w:rPr>
          <w:rFonts w:ascii="Noto Sans Arabic" w:hAnsi="Noto Sans Arabic" w:cs="Noto Sans Arabic"/>
          <w:b w:val="0"/>
          <w:sz w:val="21"/>
        </w:rPr>
        <w:t>۱۳-۳ طرفین باید روشن کنند مطالبه وجه التزام درباره هر تخلف، مانع یا همراه با مطالبه اجرای اصل تعهد است یا خیر: ................................................</w:t>
      </w:r>
    </w:p>
    <w:p>
      <w:pPr>
        <w:pStyle w:val="Heading2"/>
        <w:keepNext/>
        <w:widowControl/>
        <w:bidi w:val="1"/>
        <w:spacing w:before="180" w:after="80"/>
        <w:jc w:val="right"/>
      </w:pPr>
      <w:r>
        <w:rPr>
          <w:rFonts w:ascii="Noto Sans Arabic" w:hAnsi="Noto Sans Arabic" w:cs="Noto Sans Arabic"/>
          <w:b/>
          <w:color w:val="1F4E79"/>
          <w:sz w:val="24"/>
        </w:rPr>
        <w:t>ماده ۱۴ - تغییرات پروژه و متمم</w:t>
      </w:r>
    </w:p>
    <w:p>
      <w:pPr>
        <w:widowControl/>
        <w:bidi w:val="1"/>
        <w:spacing w:line="288" w:lineRule="auto" w:after="80"/>
        <w:jc w:val="right"/>
      </w:pPr>
      <w:r>
        <w:rPr>
          <w:rFonts w:ascii="Noto Sans Arabic" w:hAnsi="Noto Sans Arabic" w:cs="Noto Sans Arabic"/>
          <w:b w:val="0"/>
          <w:sz w:val="21"/>
        </w:rPr>
        <w:t>هر تغییر مؤثر در سهم، زمان، مشخصات فنی، اختیار پیش‌فروش، انتقال حقوق یا هزینه‌های اصلی باید به‌صورت مکتوب و در مواردی که قانون تشریفات رسمی مقرر کرده، با رعایت همان تشریفات ثبت شود. توافق شفاهی برای چنین تغییراتی مبنای امنی برای اجرای پروژه نیست.</w:t>
      </w:r>
    </w:p>
    <w:p>
      <w:pPr>
        <w:pStyle w:val="Heading2"/>
        <w:keepNext/>
        <w:widowControl/>
        <w:bidi w:val="1"/>
        <w:spacing w:before="180" w:after="80"/>
        <w:jc w:val="right"/>
      </w:pPr>
      <w:r>
        <w:rPr>
          <w:rFonts w:ascii="Noto Sans Arabic" w:hAnsi="Noto Sans Arabic" w:cs="Noto Sans Arabic"/>
          <w:b/>
          <w:color w:val="1F4E79"/>
          <w:sz w:val="24"/>
        </w:rPr>
        <w:t>ماده ۱۵ - تحویل، صورت‌جلسه و عیوب</w:t>
      </w:r>
    </w:p>
    <w:p>
      <w:pPr>
        <w:widowControl/>
        <w:bidi w:val="1"/>
        <w:spacing w:line="288" w:lineRule="auto" w:after="80"/>
        <w:jc w:val="right"/>
      </w:pPr>
      <w:r>
        <w:rPr>
          <w:rFonts w:ascii="Noto Sans Arabic" w:hAnsi="Noto Sans Arabic" w:cs="Noto Sans Arabic"/>
          <w:b w:val="0"/>
          <w:sz w:val="21"/>
        </w:rPr>
        <w:t>تحویل هر مرحله و تحویل نهایی با صورت‌جلسه انجام می‌شود. نواقص مشاهده‌شده، مهلت رفع نقص و مسئولیت هزینه‌ها در صورت‌جلسه قید خواهد شد. معیار پذیرش کیفیت، قرارداد و پیوست فنی است.</w:t>
      </w:r>
    </w:p>
    <w:p>
      <w:pPr>
        <w:pStyle w:val="Heading2"/>
        <w:keepNext/>
        <w:widowControl/>
        <w:bidi w:val="1"/>
        <w:spacing w:before="180" w:after="80"/>
        <w:jc w:val="right"/>
      </w:pPr>
      <w:r>
        <w:rPr>
          <w:rFonts w:ascii="Noto Sans Arabic" w:hAnsi="Noto Sans Arabic" w:cs="Noto Sans Arabic"/>
          <w:b/>
          <w:color w:val="1F4E79"/>
          <w:sz w:val="24"/>
        </w:rPr>
        <w:t>ماده ۱۶ - تخلف، اخطار، فسخ و آثار پایان قرارداد</w:t>
      </w:r>
    </w:p>
    <w:p>
      <w:pPr>
        <w:widowControl/>
        <w:bidi w:val="1"/>
        <w:spacing w:line="288" w:lineRule="auto" w:after="80"/>
        <w:jc w:val="right"/>
      </w:pPr>
      <w:r>
        <w:rPr>
          <w:rFonts w:ascii="Noto Sans Arabic" w:hAnsi="Noto Sans Arabic" w:cs="Noto Sans Arabic"/>
          <w:b w:val="0"/>
          <w:sz w:val="21"/>
        </w:rPr>
        <w:t>۱۶-۱ تخلفات اساسی عبارت‌اند از: ................................................</w:t>
      </w:r>
    </w:p>
    <w:p>
      <w:pPr>
        <w:widowControl/>
        <w:bidi w:val="1"/>
        <w:spacing w:line="288" w:lineRule="auto" w:after="80"/>
        <w:jc w:val="right"/>
      </w:pPr>
      <w:r>
        <w:rPr>
          <w:rFonts w:ascii="Noto Sans Arabic" w:hAnsi="Noto Sans Arabic" w:cs="Noto Sans Arabic"/>
          <w:b w:val="0"/>
          <w:sz w:val="21"/>
        </w:rPr>
        <w:t>۱۶-۲ در صورت تخلف، طرف ذی‌حق ابتدا/حسب مورد اخطار با مهلت .......... روز برای رفع تخلف ارسال می‌کند؛ مگر در مواردی که طبق قانون یا قرارداد امکان اقدام فوری وجود داشته باشد.</w:t>
      </w:r>
    </w:p>
    <w:p>
      <w:pPr>
        <w:widowControl/>
        <w:bidi w:val="1"/>
        <w:spacing w:line="288" w:lineRule="auto" w:after="80"/>
        <w:jc w:val="right"/>
      </w:pPr>
      <w:r>
        <w:rPr>
          <w:rFonts w:ascii="Noto Sans Arabic" w:hAnsi="Noto Sans Arabic" w:cs="Noto Sans Arabic"/>
          <w:b w:val="0"/>
          <w:sz w:val="21"/>
        </w:rPr>
        <w:t>۱۶-۳ در صورت ایجاد حق فسخ/خاتمه، نحوه اعلام: ................................................</w:t>
      </w:r>
    </w:p>
    <w:p>
      <w:pPr>
        <w:widowControl/>
        <w:bidi w:val="1"/>
        <w:spacing w:line="288" w:lineRule="auto" w:after="80"/>
        <w:jc w:val="right"/>
      </w:pPr>
      <w:r>
        <w:rPr>
          <w:rFonts w:ascii="Noto Sans Arabic" w:hAnsi="Noto Sans Arabic" w:cs="Noto Sans Arabic"/>
          <w:b w:val="0"/>
          <w:sz w:val="21"/>
        </w:rPr>
        <w:t>۱۶-۴ پس از پایان قرارداد، تکلیف کارگاه، مصالح، هزینه‌های انجام‌شده، اسناد، حقوق منتقل‌شده، پیش‌فروش‌ها و تضمین‌ها به شرح زیر است: ................................................</w:t>
      </w:r>
    </w:p>
    <w:p>
      <w:pPr>
        <w:pStyle w:val="Heading2"/>
        <w:keepNext/>
        <w:widowControl/>
        <w:bidi w:val="1"/>
        <w:spacing w:before="180" w:after="80"/>
        <w:jc w:val="right"/>
      </w:pPr>
      <w:r>
        <w:rPr>
          <w:rFonts w:ascii="Noto Sans Arabic" w:hAnsi="Noto Sans Arabic" w:cs="Noto Sans Arabic"/>
          <w:b/>
          <w:color w:val="1F4E79"/>
          <w:sz w:val="24"/>
        </w:rPr>
        <w:t>ماده ۱۷ - حوادث خارج از کنترل (فورس‌ماژور)</w:t>
      </w:r>
    </w:p>
    <w:p>
      <w:pPr>
        <w:widowControl/>
        <w:bidi w:val="1"/>
        <w:spacing w:line="288" w:lineRule="auto" w:after="80"/>
        <w:jc w:val="right"/>
      </w:pPr>
      <w:r>
        <w:rPr>
          <w:rFonts w:ascii="Noto Sans Arabic" w:hAnsi="Noto Sans Arabic" w:cs="Noto Sans Arabic"/>
          <w:b w:val="0"/>
          <w:sz w:val="21"/>
        </w:rPr>
        <w:t>حادثه خارج از کنترل زمانی مؤثر است که اجرای تعهد را واقعاً غیرممکن یا طبق قرارداد معلق کند و قابل انتساب به متعهد نباشد. طرف متأثر باید ظرف .......... روز اطلاع دهد و مستندات ارائه کند. اثر حادثه بر مدت: ..........؛ حداکثر مدت تعلیق: ..........؛ پس از آن: .......... .</w:t>
      </w:r>
    </w:p>
    <w:p>
      <w:pPr>
        <w:pStyle w:val="Heading2"/>
        <w:keepNext/>
        <w:widowControl/>
        <w:bidi w:val="1"/>
        <w:spacing w:before="180" w:after="80"/>
        <w:jc w:val="right"/>
      </w:pPr>
      <w:r>
        <w:rPr>
          <w:rFonts w:ascii="Noto Sans Arabic" w:hAnsi="Noto Sans Arabic" w:cs="Noto Sans Arabic"/>
          <w:b/>
          <w:color w:val="1F4E79"/>
          <w:sz w:val="24"/>
        </w:rPr>
        <w:t>ماده ۱۸ - فوت، حجر یا تغییر وضعیت حقوقی طرفین</w:t>
      </w:r>
    </w:p>
    <w:p>
      <w:pPr>
        <w:widowControl/>
        <w:bidi w:val="1"/>
        <w:spacing w:line="288" w:lineRule="auto" w:after="80"/>
        <w:jc w:val="right"/>
      </w:pPr>
      <w:r>
        <w:rPr>
          <w:rFonts w:ascii="Noto Sans Arabic" w:hAnsi="Noto Sans Arabic" w:cs="Noto Sans Arabic"/>
          <w:b w:val="0"/>
          <w:sz w:val="21"/>
        </w:rPr>
        <w:t>فوت یا حجر هر طرف لزوماً به‌تنهایی موجب پایان قرارداد نیست و آثار آن با توجه به قائم‌به‌شخص بودن تعهدات، مقررات قانونی و مفاد این ماده بررسی می‌شود. طرفین توافق می‌کنند در صورت وقوع، قائم‌مقام/نماینده قانونی برای تعیین تکلیف تعهدات و اسناد ظرف .......... روز اقدام کند. وضعیت وکالت‌ها جداگانه تابع قانون است.</w:t>
      </w:r>
    </w:p>
    <w:p>
      <w:pPr>
        <w:pStyle w:val="Heading2"/>
        <w:keepNext/>
        <w:widowControl/>
        <w:bidi w:val="1"/>
        <w:spacing w:before="180" w:after="80"/>
        <w:jc w:val="right"/>
      </w:pPr>
      <w:r>
        <w:rPr>
          <w:rFonts w:ascii="Noto Sans Arabic" w:hAnsi="Noto Sans Arabic" w:cs="Noto Sans Arabic"/>
          <w:b/>
          <w:color w:val="1F4E79"/>
          <w:sz w:val="24"/>
        </w:rPr>
        <w:t>ماده ۱۹ - حل اختلاف و ابلاغ</w:t>
      </w:r>
    </w:p>
    <w:p>
      <w:pPr>
        <w:widowControl/>
        <w:bidi w:val="1"/>
        <w:spacing w:line="288" w:lineRule="auto" w:after="80"/>
        <w:jc w:val="right"/>
      </w:pPr>
      <w:r>
        <w:rPr>
          <w:rFonts w:ascii="Noto Sans Arabic" w:hAnsi="Noto Sans Arabic" w:cs="Noto Sans Arabic"/>
          <w:b w:val="0"/>
          <w:sz w:val="21"/>
        </w:rPr>
        <w:t>۱۹-۱ نشانی‌های ماده ۱، اقامتگاه قراردادی برای ابلاغ است مگر تغییر نشانی به‌طور قابل اثبات اعلام شود.</w:t>
      </w:r>
    </w:p>
    <w:p>
      <w:pPr>
        <w:widowControl/>
        <w:bidi w:val="1"/>
        <w:spacing w:line="288" w:lineRule="auto" w:after="80"/>
        <w:jc w:val="right"/>
      </w:pPr>
      <w:r>
        <w:rPr>
          <w:rFonts w:ascii="Noto Sans Arabic" w:hAnsi="Noto Sans Arabic" w:cs="Noto Sans Arabic"/>
          <w:b w:val="0"/>
          <w:sz w:val="21"/>
        </w:rPr>
        <w:t>۱۹-۲ روش حل اختلاف: □ دادگاه صالح  □ داوری. در صورت داوری: داور/روش انتخاب ........................؛ مدت داوری ........................؛ موضوعات مشمول ........................؛ داور جانشین ........................ .</w:t>
      </w:r>
    </w:p>
    <w:p>
      <w:pPr>
        <w:widowControl/>
        <w:bidi w:val="1"/>
        <w:spacing w:line="288" w:lineRule="auto" w:after="80"/>
        <w:jc w:val="right"/>
      </w:pPr>
      <w:r>
        <w:rPr>
          <w:rFonts w:ascii="Noto Sans Arabic" w:hAnsi="Noto Sans Arabic" w:cs="Noto Sans Arabic"/>
          <w:b w:val="0"/>
          <w:sz w:val="21"/>
        </w:rPr>
        <w:t>۱۹-۳ طرفین می‌توانند پیش از طرح دعوا/داوری، مذاکره یا میانجی‌گری برای مدت .......... روز را مقرر کنند؛ این شرط نباید حقوق فوری مانند درخواست تأمین یا دستور موقت را بدون تصریح محدود کند.</w:t>
      </w:r>
    </w:p>
    <w:p>
      <w:pPr>
        <w:pStyle w:val="Heading2"/>
        <w:keepNext/>
        <w:widowControl/>
        <w:bidi w:val="1"/>
        <w:spacing w:before="180" w:after="80"/>
        <w:jc w:val="right"/>
      </w:pPr>
      <w:r>
        <w:rPr>
          <w:rFonts w:ascii="Noto Sans Arabic" w:hAnsi="Noto Sans Arabic" w:cs="Noto Sans Arabic"/>
          <w:b/>
          <w:color w:val="1F4E79"/>
          <w:sz w:val="24"/>
        </w:rPr>
        <w:t>ماده ۲۰ - ثبت رسمی، پیوست‌ها و نسخ قرارداد</w:t>
      </w:r>
    </w:p>
    <w:p>
      <w:pPr>
        <w:widowControl/>
        <w:bidi w:val="1"/>
        <w:spacing w:line="288" w:lineRule="auto" w:after="80"/>
        <w:jc w:val="right"/>
      </w:pPr>
      <w:r>
        <w:rPr>
          <w:rFonts w:ascii="Noto Sans Arabic" w:hAnsi="Noto Sans Arabic" w:cs="Noto Sans Arabic"/>
          <w:b w:val="0"/>
          <w:sz w:val="21"/>
        </w:rPr>
        <w:t>۲۰-۱ طرفین متعهدند قرارداد و نقل‌وانتقال‌های مرتبط را مطابق قوانین و مقررات جاری، از جمله قانون پیش‌فروش ساختمان با اصلاحات بعدی و قانون الزام به ثبت رسمی معاملات اموال غیرمنقول، از مسیر رسمی قابل اجرا برای ملک ثبت و تکمیل کنند.</w:t>
      </w:r>
    </w:p>
    <w:p>
      <w:pPr>
        <w:widowControl/>
        <w:bidi w:val="1"/>
        <w:spacing w:line="288" w:lineRule="auto" w:after="80"/>
        <w:jc w:val="right"/>
      </w:pPr>
      <w:r>
        <w:rPr>
          <w:rFonts w:ascii="Noto Sans Arabic" w:hAnsi="Noto Sans Arabic" w:cs="Noto Sans Arabic"/>
          <w:b w:val="0"/>
          <w:sz w:val="21"/>
        </w:rPr>
        <w:t>۲۰-۲ پیوست‌های زیر جزء لاینفک قراردادند: ۱) مدارک مالکیت و سمت؛ ۲) پیوست فنی؛ ۳) برنامه زمان‌بندی؛ ۴) جدول هزینه‌ها؛ ۵) تقسیم‌نامه/معیار تخصیص؛ ۶) فهرست تضمین‌ها؛ ۷) سایر: ........................ .</w:t>
      </w:r>
    </w:p>
    <w:p>
      <w:pPr>
        <w:widowControl/>
        <w:bidi w:val="1"/>
        <w:spacing w:line="288" w:lineRule="auto" w:after="80"/>
        <w:jc w:val="right"/>
      </w:pPr>
      <w:r>
        <w:rPr>
          <w:rFonts w:ascii="Noto Sans Arabic" w:hAnsi="Noto Sans Arabic" w:cs="Noto Sans Arabic"/>
          <w:b w:val="0"/>
          <w:sz w:val="21"/>
        </w:rPr>
        <w:t>۲۰-۳ این نسخه نمونه برای تکمیل اولیه تنظیم شده و تعداد نسخه‌ها/نحوه امضای نهایی باید با تشریفات قانونی لازم هماهنگ شود.</w:t>
      </w:r>
    </w:p>
    <w:p>
      <w:pPr>
        <w:pStyle w:val="Heading2"/>
        <w:keepNext/>
        <w:widowControl/>
        <w:bidi w:val="1"/>
        <w:spacing w:before="180" w:after="80"/>
        <w:jc w:val="right"/>
      </w:pPr>
      <w:r>
        <w:rPr>
          <w:rFonts w:ascii="Noto Sans Arabic" w:hAnsi="Noto Sans Arabic" w:cs="Noto Sans Arabic"/>
          <w:b/>
          <w:color w:val="1F4E79"/>
          <w:sz w:val="24"/>
        </w:rPr>
        <w:t>محل امضا و تأیید</w:t>
      </w:r>
    </w:p>
    <w:tbl>
      <w:tblPr>
        <w:tblStyle w:val="TableGrid"/>
        <w:tblW w:type="auto" w:w="0"/>
        <w:jc w:val="center"/>
        <w:tblLook w:firstColumn="1" w:firstRow="1" w:lastColumn="0" w:lastRow="0" w:noHBand="0" w:noVBand="1" w:val="04A0"/>
      </w:tblPr>
      <w:tblGrid>
        <w:gridCol w:w="3437"/>
        <w:gridCol w:w="3437"/>
        <w:gridCol w:w="3437"/>
      </w:tblGrid>
      <w:tr>
        <w:tc>
          <w:tcPr>
            <w:tcW w:type="dxa" w:w="3437"/>
            <w:shd w:fill="D9EAF7"/>
            <w:vAlign w:val="center"/>
          </w:tcPr>
          <w:p>
            <w:pPr>
              <w:bidi w:val="1"/>
              <w:jc w:val="right"/>
            </w:pPr>
            <w:r>
              <w:rPr>
                <w:rFonts w:ascii="Noto Sans Arabic" w:hAnsi="Noto Sans Arabic" w:cs="Noto Sans Arabic"/>
                <w:b/>
                <w:sz w:val="19"/>
              </w:rPr>
              <w:t>مالک/مالکان</w:t>
            </w:r>
          </w:p>
        </w:tc>
        <w:tc>
          <w:tcPr>
            <w:tcW w:type="dxa" w:w="3437"/>
            <w:shd w:fill="D9EAF7"/>
            <w:vAlign w:val="center"/>
          </w:tcPr>
          <w:p>
            <w:pPr>
              <w:bidi w:val="1"/>
              <w:jc w:val="right"/>
            </w:pPr>
            <w:r>
              <w:rPr>
                <w:rFonts w:ascii="Noto Sans Arabic" w:hAnsi="Noto Sans Arabic" w:cs="Noto Sans Arabic"/>
                <w:b/>
                <w:sz w:val="19"/>
              </w:rPr>
              <w:t>سازنده</w:t>
            </w:r>
          </w:p>
        </w:tc>
        <w:tc>
          <w:tcPr>
            <w:tcW w:type="dxa" w:w="3437"/>
            <w:shd w:fill="D9EAF7"/>
            <w:vAlign w:val="center"/>
          </w:tcPr>
          <w:p>
            <w:pPr>
              <w:bidi w:val="1"/>
              <w:jc w:val="right"/>
            </w:pPr>
            <w:r>
              <w:rPr>
                <w:rFonts w:ascii="Noto Sans Arabic" w:hAnsi="Noto Sans Arabic" w:cs="Noto Sans Arabic"/>
                <w:b/>
                <w:sz w:val="19"/>
              </w:rPr>
              <w:t>نماینده/شاهد (در صورت استفاده)</w:t>
            </w:r>
          </w:p>
        </w:tc>
      </w:tr>
      <w:tr>
        <w:tc>
          <w:tcPr>
            <w:tcW w:type="dxa" w:w="3437"/>
          </w:tcPr>
          <w:p>
            <w:pPr>
              <w:bidi w:val="1"/>
              <w:spacing w:after="0"/>
              <w:jc w:val="right"/>
            </w:pPr>
            <w:r>
              <w:rPr>
                <w:rFonts w:ascii="Noto Sans Arabic" w:hAnsi="Noto Sans Arabic" w:cs="Noto Sans Arabic"/>
                <w:b w:val="0"/>
                <w:sz w:val="18"/>
              </w:rPr>
              <w:t>نام و امضا:</w:t>
              <w:br/>
              <w:t>تاریخ:</w:t>
            </w:r>
          </w:p>
        </w:tc>
        <w:tc>
          <w:tcPr>
            <w:tcW w:type="dxa" w:w="3437"/>
          </w:tcPr>
          <w:p>
            <w:pPr>
              <w:bidi w:val="1"/>
              <w:spacing w:after="0"/>
              <w:jc w:val="right"/>
            </w:pPr>
            <w:r>
              <w:rPr>
                <w:rFonts w:ascii="Noto Sans Arabic" w:hAnsi="Noto Sans Arabic" w:cs="Noto Sans Arabic"/>
                <w:b w:val="0"/>
                <w:sz w:val="18"/>
              </w:rPr>
              <w:t>نام و امضا:</w:t>
              <w:br/>
              <w:t>تاریخ:</w:t>
            </w:r>
          </w:p>
        </w:tc>
        <w:tc>
          <w:tcPr>
            <w:tcW w:type="dxa" w:w="3437"/>
          </w:tcPr>
          <w:p>
            <w:pPr>
              <w:bidi w:val="1"/>
              <w:spacing w:after="0"/>
              <w:jc w:val="right"/>
            </w:pPr>
            <w:r>
              <w:rPr>
                <w:rFonts w:ascii="Noto Sans Arabic" w:hAnsi="Noto Sans Arabic" w:cs="Noto Sans Arabic"/>
                <w:b w:val="0"/>
                <w:sz w:val="18"/>
              </w:rPr>
              <w:t>نام و امضا:</w:t>
              <w:br/>
              <w:t>سمت:</w:t>
              <w:br/>
              <w:t>تاریخ:</w:t>
            </w:r>
          </w:p>
        </w:tc>
      </w:tr>
    </w:tbl>
    <w:p>
      <w:pPr>
        <w:pStyle w:val="Heading2"/>
        <w:keepNext/>
        <w:widowControl/>
        <w:bidi w:val="1"/>
        <w:spacing w:before="180" w:after="80"/>
        <w:jc w:val="right"/>
      </w:pPr>
      <w:r>
        <w:rPr>
          <w:rFonts w:ascii="Noto Sans Arabic" w:hAnsi="Noto Sans Arabic" w:cs="Noto Sans Arabic"/>
          <w:b/>
          <w:color w:val="1F4E79"/>
          <w:sz w:val="24"/>
        </w:rPr>
        <w:t>پیوست پیشنهادی ۱ - چک‌لیست مدارک</w:t>
      </w:r>
    </w:p>
    <w:p>
      <w:pPr>
        <w:widowControl/>
        <w:bidi w:val="1"/>
        <w:spacing w:line="288" w:lineRule="auto" w:after="80"/>
        <w:jc w:val="right"/>
      </w:pPr>
      <w:r>
        <w:rPr>
          <w:rFonts w:ascii="Noto Sans Arabic" w:hAnsi="Noto Sans Arabic" w:cs="Noto Sans Arabic"/>
          <w:b w:val="0"/>
          <w:sz w:val="21"/>
        </w:rPr>
        <w:t>□ تصویر سند مالکیت و استعلام ثبتی</w:t>
      </w:r>
    </w:p>
    <w:p>
      <w:pPr>
        <w:widowControl/>
        <w:bidi w:val="1"/>
        <w:spacing w:line="288" w:lineRule="auto" w:after="80"/>
        <w:jc w:val="right"/>
      </w:pPr>
      <w:r>
        <w:rPr>
          <w:rFonts w:ascii="Noto Sans Arabic" w:hAnsi="Noto Sans Arabic" w:cs="Noto Sans Arabic"/>
          <w:b w:val="0"/>
          <w:sz w:val="21"/>
        </w:rPr>
        <w:t>□ مدارک هویتی و سمت امضاکنندگان</w:t>
      </w:r>
    </w:p>
    <w:p>
      <w:pPr>
        <w:widowControl/>
        <w:bidi w:val="1"/>
        <w:spacing w:line="288" w:lineRule="auto" w:after="80"/>
        <w:jc w:val="right"/>
      </w:pPr>
      <w:r>
        <w:rPr>
          <w:rFonts w:ascii="Noto Sans Arabic" w:hAnsi="Noto Sans Arabic" w:cs="Noto Sans Arabic"/>
          <w:b w:val="0"/>
          <w:sz w:val="21"/>
        </w:rPr>
        <w:t>□ مدارک شرکت سازنده و نماینده مجاز</w:t>
      </w:r>
    </w:p>
    <w:p>
      <w:pPr>
        <w:widowControl/>
        <w:bidi w:val="1"/>
        <w:spacing w:line="288" w:lineRule="auto" w:after="80"/>
        <w:jc w:val="right"/>
      </w:pPr>
      <w:r>
        <w:rPr>
          <w:rFonts w:ascii="Noto Sans Arabic" w:hAnsi="Noto Sans Arabic" w:cs="Noto Sans Arabic"/>
          <w:b w:val="0"/>
          <w:sz w:val="21"/>
        </w:rPr>
        <w:t>□ دستور نقشه/اطلاعات شهرسازی و پروانه در صورت صدور</w:t>
      </w:r>
    </w:p>
    <w:p>
      <w:pPr>
        <w:widowControl/>
        <w:bidi w:val="1"/>
        <w:spacing w:line="288" w:lineRule="auto" w:after="80"/>
        <w:jc w:val="right"/>
      </w:pPr>
      <w:r>
        <w:rPr>
          <w:rFonts w:ascii="Noto Sans Arabic" w:hAnsi="Noto Sans Arabic" w:cs="Noto Sans Arabic"/>
          <w:b w:val="0"/>
          <w:sz w:val="21"/>
        </w:rPr>
        <w:t>□ پیوست فنی و لیست مصالح</w:t>
      </w:r>
    </w:p>
    <w:p>
      <w:pPr>
        <w:widowControl/>
        <w:bidi w:val="1"/>
        <w:spacing w:line="288" w:lineRule="auto" w:after="80"/>
        <w:jc w:val="right"/>
      </w:pPr>
      <w:r>
        <w:rPr>
          <w:rFonts w:ascii="Noto Sans Arabic" w:hAnsi="Noto Sans Arabic" w:cs="Noto Sans Arabic"/>
          <w:b w:val="0"/>
          <w:sz w:val="21"/>
        </w:rPr>
        <w:t>□ جدول زمان‌بندی</w:t>
      </w:r>
    </w:p>
    <w:p>
      <w:pPr>
        <w:widowControl/>
        <w:bidi w:val="1"/>
        <w:spacing w:line="288" w:lineRule="auto" w:after="80"/>
        <w:jc w:val="right"/>
      </w:pPr>
      <w:r>
        <w:rPr>
          <w:rFonts w:ascii="Noto Sans Arabic" w:hAnsi="Noto Sans Arabic" w:cs="Noto Sans Arabic"/>
          <w:b w:val="0"/>
          <w:sz w:val="21"/>
        </w:rPr>
        <w:t>□ جدول هزینه‌ها و مسئول پرداخت</w:t>
      </w:r>
    </w:p>
    <w:p>
      <w:pPr>
        <w:widowControl/>
        <w:bidi w:val="1"/>
        <w:spacing w:line="288" w:lineRule="auto" w:after="80"/>
        <w:jc w:val="right"/>
      </w:pPr>
      <w:r>
        <w:rPr>
          <w:rFonts w:ascii="Noto Sans Arabic" w:hAnsi="Noto Sans Arabic" w:cs="Noto Sans Arabic"/>
          <w:b w:val="0"/>
          <w:sz w:val="21"/>
        </w:rPr>
        <w:t>□ فهرست تضمین‌ها و رسید آن‌ها</w:t>
      </w:r>
    </w:p>
    <w:p>
      <w:pPr>
        <w:widowControl/>
        <w:bidi w:val="1"/>
        <w:spacing w:line="288" w:lineRule="auto" w:after="80"/>
        <w:jc w:val="right"/>
      </w:pPr>
      <w:r>
        <w:rPr>
          <w:rFonts w:ascii="Noto Sans Arabic" w:hAnsi="Noto Sans Arabic" w:cs="Noto Sans Arabic"/>
          <w:b w:val="0"/>
          <w:sz w:val="21"/>
        </w:rPr>
        <w:t>□ تقسیم‌نامه/معیار تخصیص واحدها</w:t>
      </w:r>
    </w:p>
    <w:p>
      <w:pPr>
        <w:widowControl/>
        <w:bidi w:val="1"/>
        <w:spacing w:line="288" w:lineRule="auto" w:after="80"/>
        <w:jc w:val="right"/>
      </w:pPr>
      <w:r>
        <w:rPr>
          <w:rFonts w:ascii="Noto Sans Arabic" w:hAnsi="Noto Sans Arabic" w:cs="Noto Sans Arabic"/>
          <w:b w:val="0"/>
          <w:sz w:val="21"/>
        </w:rPr>
        <w:t>□ مستندات ثبت رسمی و شناسه‌های مربوط حسب مورد</w:t>
      </w:r>
    </w:p>
    <w:p>
      <w:pPr>
        <w:pStyle w:val="Heading2"/>
        <w:keepNext/>
        <w:widowControl/>
        <w:bidi w:val="1"/>
        <w:spacing w:before="180" w:after="80"/>
        <w:jc w:val="right"/>
      </w:pPr>
      <w:r>
        <w:rPr>
          <w:rFonts w:ascii="Noto Sans Arabic" w:hAnsi="Noto Sans Arabic" w:cs="Noto Sans Arabic"/>
          <w:b/>
          <w:color w:val="1F4E79"/>
          <w:sz w:val="24"/>
        </w:rPr>
        <w:t>پیوست پیشنهادی ۲ - نکات تکمیل قبل از امضا</w:t>
      </w:r>
    </w:p>
    <w:p>
      <w:pPr>
        <w:widowControl/>
        <w:bidi w:val="1"/>
        <w:spacing w:line="288" w:lineRule="auto" w:after="80"/>
        <w:jc w:val="right"/>
      </w:pPr>
      <w:r>
        <w:rPr>
          <w:rFonts w:ascii="Noto Sans Arabic" w:hAnsi="Noto Sans Arabic" w:cs="Noto Sans Arabic"/>
          <w:b w:val="0"/>
          <w:sz w:val="21"/>
        </w:rPr>
        <w:t>□ هیچ جای خالی مهمی پس از امضا باقی نماند.</w:t>
      </w:r>
    </w:p>
    <w:p>
      <w:pPr>
        <w:widowControl/>
        <w:bidi w:val="1"/>
        <w:spacing w:line="288" w:lineRule="auto" w:after="80"/>
        <w:jc w:val="right"/>
      </w:pPr>
      <w:r>
        <w:rPr>
          <w:rFonts w:ascii="Noto Sans Arabic" w:hAnsi="Noto Sans Arabic" w:cs="Noto Sans Arabic"/>
          <w:b w:val="0"/>
          <w:sz w:val="21"/>
        </w:rPr>
        <w:t>□ مبالغ هم با عدد و هم با حروف و واحد پول روشن نوشته شود.</w:t>
      </w:r>
    </w:p>
    <w:p>
      <w:pPr>
        <w:widowControl/>
        <w:bidi w:val="1"/>
        <w:spacing w:line="288" w:lineRule="auto" w:after="80"/>
        <w:jc w:val="right"/>
      </w:pPr>
      <w:r>
        <w:rPr>
          <w:rFonts w:ascii="Noto Sans Arabic" w:hAnsi="Noto Sans Arabic" w:cs="Noto Sans Arabic"/>
          <w:b w:val="0"/>
          <w:sz w:val="21"/>
        </w:rPr>
        <w:t>□ هر پیوست شماره و تاریخ داشته و ارتباط آن با قرارداد اصلی مشخص باشد.</w:t>
      </w:r>
    </w:p>
    <w:p>
      <w:pPr>
        <w:widowControl/>
        <w:bidi w:val="1"/>
        <w:spacing w:line="288" w:lineRule="auto" w:after="80"/>
        <w:jc w:val="right"/>
      </w:pPr>
      <w:r>
        <w:rPr>
          <w:rFonts w:ascii="Noto Sans Arabic" w:hAnsi="Noto Sans Arabic" w:cs="Noto Sans Arabic"/>
          <w:b w:val="0"/>
          <w:sz w:val="21"/>
        </w:rPr>
        <w:t>□ اختیار پیش‌فروش و انتقال به ثالث به‌صورت مستقل و دقیق بررسی شود.</w:t>
      </w:r>
    </w:p>
    <w:p>
      <w:pPr>
        <w:widowControl/>
        <w:bidi w:val="1"/>
        <w:spacing w:line="288" w:lineRule="auto" w:after="80"/>
        <w:jc w:val="right"/>
      </w:pPr>
      <w:r>
        <w:rPr>
          <w:rFonts w:ascii="Noto Sans Arabic" w:hAnsi="Noto Sans Arabic" w:cs="Noto Sans Arabic"/>
          <w:b w:val="0"/>
          <w:sz w:val="21"/>
        </w:rPr>
        <w:t>□ تضمین‌ها با ذکر سبب صدور و تعهد تضمین‌شده تحویل شوند.</w:t>
      </w:r>
    </w:p>
    <w:p>
      <w:pPr>
        <w:widowControl/>
        <w:bidi w:val="1"/>
        <w:spacing w:line="288" w:lineRule="auto" w:after="80"/>
        <w:jc w:val="right"/>
      </w:pPr>
      <w:r>
        <w:rPr>
          <w:rFonts w:ascii="Noto Sans Arabic" w:hAnsi="Noto Sans Arabic" w:cs="Noto Sans Arabic"/>
          <w:b w:val="0"/>
          <w:sz w:val="21"/>
        </w:rPr>
        <w:t>□ قبل از امضا، وضعیت ثبت رسمی و سامانه‌ای همان ملک استعلام شود.</w:t>
      </w:r>
    </w:p>
    <w:p>
      <w:pPr>
        <w:pStyle w:val="Heading2"/>
        <w:keepNext/>
        <w:widowControl/>
        <w:bidi w:val="1"/>
        <w:spacing w:before="180" w:after="80"/>
        <w:jc w:val="right"/>
      </w:pPr>
      <w:r>
        <w:rPr>
          <w:rFonts w:ascii="Noto Sans Arabic" w:hAnsi="Noto Sans Arabic" w:cs="Noto Sans Arabic"/>
          <w:b/>
          <w:color w:val="1F4E79"/>
          <w:sz w:val="24"/>
        </w:rPr>
        <w:t>مبنای حقوقی و تاریخ بازبینی</w:t>
      </w:r>
    </w:p>
    <w:p>
      <w:pPr>
        <w:widowControl/>
        <w:bidi w:val="1"/>
        <w:spacing w:line="288" w:lineRule="auto" w:after="80"/>
        <w:jc w:val="right"/>
      </w:pPr>
      <w:r>
        <w:rPr>
          <w:rFonts w:ascii="Noto Sans Arabic" w:hAnsi="Noto Sans Arabic" w:cs="Noto Sans Arabic"/>
          <w:b w:val="0"/>
          <w:sz w:val="19"/>
        </w:rPr>
        <w:t>این نمونه با هدف آموزشی و بر پایه قواعد عمومی قراردادها در قانون مدنی، قانون پیش‌فروش ساختمان با اصلاحات جدید، قانون الزام به ثبت رسمی معاملات اموال غیرمنقول و آیین‌نامه اجرایی مرتبط با مدیریت پیش‌فروش و مشارکت در ساخت تنظیم شده و در شهریور ۱۴۰۵ بازبینی شده است.</w:t>
      </w:r>
    </w:p>
    <w:p>
      <w:pPr>
        <w:widowControl/>
        <w:bidi w:val="1"/>
        <w:spacing w:line="288" w:lineRule="auto" w:after="80"/>
        <w:jc w:val="right"/>
      </w:pPr>
      <w:r>
        <w:rPr>
          <w:rFonts w:ascii="Noto Sans Arabic" w:hAnsi="Noto Sans Arabic" w:cs="Noto Sans Arabic"/>
          <w:b w:val="0"/>
          <w:sz w:val="19"/>
        </w:rPr>
        <w:t>به دلیل تغییرات اجرایی سامانه‌های ثبتی و تفاوت وضعیت هر ملک، قبل از استفاده نهایی، آخرین وضعیت مقررات و امکان ثبت رسمی برای همان ملک کنترل شود.</w:t>
      </w:r>
    </w:p>
    <w:sectPr w:rsidR="00FC693F" w:rsidRPr="0006063C" w:rsidSect="00034616">
      <w:footerReference w:type="default" r:id="rId9"/>
      <w:pgSz w:w="12240" w:h="15840"/>
      <w:pgMar w:top="850" w:right="964" w:bottom="850"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bidi w:val="1"/>
      <w:jc w:val="center"/>
    </w:pPr>
    <w:r>
      <w:rPr>
        <w:rFonts w:ascii="Noto Sans Arabic" w:hAnsi="Noto Sans Arabic" w:cs="Noto Sans Arabic"/>
        <w:b w:val="0"/>
        <w:color w:val="646464"/>
        <w:sz w:val="16"/>
      </w:rPr>
      <w:t>نمونه عمومی آموزشی - نیازمند تطبیق با پروژه و مقررات جاری</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Arabic" w:hAnsi="Noto Sans Arabic" w:cs="Noto Sans Arabic"/>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Noto Sans Arabic" w:hAnsi="Noto Sans Arabic" w:cs="Noto Sans Arabic"/>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Noto Sans Arabic" w:hAnsi="Noto Sans Arabic" w:cs="Noto Sans Arabic"/>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Noto Sans Arabic" w:hAnsi="Noto Sans Arabic" w:cs="Noto Sans Arabic"/>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